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2D" w:rsidRDefault="00217608" w:rsidP="00D547DA">
      <w:pPr>
        <w:ind w:firstLine="708"/>
        <w:jc w:val="both"/>
        <w:rPr>
          <w:b/>
        </w:rPr>
      </w:pPr>
      <w:r>
        <w:rPr>
          <w:b/>
        </w:rPr>
        <w:t>OBJAŚNIENIA</w:t>
      </w:r>
    </w:p>
    <w:p w:rsidR="006B672D" w:rsidRDefault="006B672D" w:rsidP="00D547DA">
      <w:pPr>
        <w:ind w:firstLine="708"/>
        <w:jc w:val="both"/>
        <w:rPr>
          <w:b/>
        </w:rPr>
      </w:pPr>
    </w:p>
    <w:p w:rsidR="006B672D" w:rsidRPr="006B672D" w:rsidRDefault="006B672D" w:rsidP="00D547DA">
      <w:pPr>
        <w:ind w:firstLine="708"/>
        <w:jc w:val="both"/>
        <w:rPr>
          <w:b/>
        </w:rPr>
      </w:pPr>
    </w:p>
    <w:p w:rsidR="00BE3DF6" w:rsidRDefault="00D56D91" w:rsidP="00D547DA">
      <w:pPr>
        <w:ind w:firstLine="708"/>
        <w:jc w:val="both"/>
      </w:pPr>
      <w:r>
        <w:t xml:space="preserve">Zmiany do Wieloletniej Prognozy Finansowej dla Gminy Górzno zostały wprowadzone </w:t>
      </w:r>
      <w:r w:rsidR="00D15489">
        <w:t xml:space="preserve"> w oparciu o zgromadzone materiały: prognoza dochodów na rok 201</w:t>
      </w:r>
      <w:r w:rsidR="00960788">
        <w:t>4</w:t>
      </w:r>
      <w:r w:rsidR="00D15489">
        <w:t xml:space="preserve"> i lata następne z uwzględnieniem dotacji oraz środków europejskich, prognoza wydatków z podziałem na wydatki bieżące i majątkowe, zawarte umowy kredytowe, harmonogramy spłat, realizowane i planowane przedsięwzięcia, programy, projekty i zadania, udzielone gwarancje i poręczenia i określanie ryzyka ich wykonania.</w:t>
      </w:r>
    </w:p>
    <w:p w:rsidR="00D56D91" w:rsidRDefault="00D56D91" w:rsidP="00D547DA">
      <w:pPr>
        <w:ind w:firstLine="708"/>
        <w:jc w:val="both"/>
      </w:pPr>
      <w:r>
        <w:t>Wprowadzone zostały zmiany w przedsięwzięciach rozpoczętych w roku 2011 i kontynuowanych w latach nast</w:t>
      </w:r>
      <w:r w:rsidR="00C279EA">
        <w:t>ę</w:t>
      </w:r>
      <w:r>
        <w:t>pnych</w:t>
      </w:r>
      <w:r w:rsidR="00C279EA">
        <w:t>, co widać w załączniku Nr 1 do WPF.</w:t>
      </w:r>
      <w:r w:rsidR="00835C24">
        <w:t xml:space="preserve"> W wykazie przedsięwzięć zostały ujęte następujące zadania inwestycyjne: </w:t>
      </w:r>
    </w:p>
    <w:p w:rsidR="00835C24" w:rsidRDefault="00835C24" w:rsidP="00835C24">
      <w:pPr>
        <w:pStyle w:val="Akapitzlist"/>
        <w:numPr>
          <w:ilvl w:val="0"/>
          <w:numId w:val="1"/>
        </w:numPr>
        <w:jc w:val="both"/>
      </w:pPr>
      <w:r>
        <w:t>Budowa sieci wodociągowej Czarny Bryńsk, inwestycja rozpoczęta w 2012 roku, wykonanie samej inwestycji planowane jest na rok 2014, limit nakładów roku 2014, to kwota 1.000.000,00 zł., inwestycja będzie realizowana z dofinansowaniem środków unijnych.</w:t>
      </w:r>
    </w:p>
    <w:p w:rsidR="00835C24" w:rsidRDefault="00835C24" w:rsidP="00835C24">
      <w:pPr>
        <w:pStyle w:val="Akapitzlist"/>
        <w:numPr>
          <w:ilvl w:val="0"/>
          <w:numId w:val="1"/>
        </w:numPr>
        <w:jc w:val="both"/>
      </w:pPr>
      <w:r>
        <w:t>Remont i rozbudowa plaży w Górznie, inwestycja rozpoczęta w 2011</w:t>
      </w:r>
      <w:r w:rsidR="009A228C">
        <w:t>, samo wykonanie zadania ma nastąpić w 2015 roku, limit nakładów na rok 2015, to kwota 1.058.000,00 zł, inwestycja dofinansowana ze środków unijnych.</w:t>
      </w:r>
    </w:p>
    <w:p w:rsidR="009A228C" w:rsidRDefault="009A228C" w:rsidP="00835C24">
      <w:pPr>
        <w:pStyle w:val="Akapitzlist"/>
        <w:numPr>
          <w:ilvl w:val="0"/>
          <w:numId w:val="1"/>
        </w:numPr>
        <w:jc w:val="both"/>
      </w:pPr>
      <w:r>
        <w:t>Przebudowa ul. Floriana w mieście Górzno, inwestycja planowana na lata 2016 – 2017, nakłady na planowane zadanie to kwoty 1.000.000,00 zł, na rok 2016, 1.000.000,00 na rok 2017</w:t>
      </w:r>
      <w:r w:rsidR="00595F4B">
        <w:t>, inwestycja będzie realizowana po pozyskaniu środków z innych źródeł.</w:t>
      </w:r>
    </w:p>
    <w:p w:rsidR="00595F4B" w:rsidRDefault="00595F4B" w:rsidP="00835C24">
      <w:pPr>
        <w:pStyle w:val="Akapitzlist"/>
        <w:numPr>
          <w:ilvl w:val="0"/>
          <w:numId w:val="1"/>
        </w:numPr>
        <w:jc w:val="both"/>
      </w:pPr>
      <w:r>
        <w:t>Rekultywacja składowiska odpadów w Miesiączkowie, inwestycja rozpoczęta w 2013 roku, realizacja planowana na rok 2014 pod warunkiem uzyskania dofinansowania środkami z Funduszu spójności i WFOŚiGW. Nakłady na wymienione zadanie, to kwota 1.967.000,00 zł, na rok 2014.</w:t>
      </w:r>
    </w:p>
    <w:p w:rsidR="00595F4B" w:rsidRDefault="00595F4B" w:rsidP="00835C24">
      <w:pPr>
        <w:pStyle w:val="Akapitzlist"/>
        <w:numPr>
          <w:ilvl w:val="0"/>
          <w:numId w:val="1"/>
        </w:numPr>
        <w:jc w:val="both"/>
      </w:pPr>
      <w:r>
        <w:t>Budowa PSZOK-u, zadanie realizowane w latach 2013 i 2014, nakłady roku 2014, to kwota 80.000,00 zł, zadanie realizowane z własnych środków.</w:t>
      </w:r>
    </w:p>
    <w:p w:rsidR="00D15489" w:rsidRDefault="00D15489" w:rsidP="00D547DA">
      <w:pPr>
        <w:jc w:val="both"/>
      </w:pPr>
      <w:r>
        <w:t>Analiza wszystkich materiałów obejmowała okres od 20</w:t>
      </w:r>
      <w:r w:rsidR="008546F6">
        <w:t>1</w:t>
      </w:r>
      <w:r w:rsidR="00960788">
        <w:t>4</w:t>
      </w:r>
      <w:r>
        <w:t xml:space="preserve"> do 20</w:t>
      </w:r>
      <w:r w:rsidR="008546F6">
        <w:t>2</w:t>
      </w:r>
      <w:r w:rsidR="00595F4B">
        <w:t>3</w:t>
      </w:r>
      <w:r>
        <w:t xml:space="preserve"> roku. Całe prognozowanie na lata następne rozpoczęło się od analizy dochodów gminy, które w przypadku gminy Górzno zostały zaplanowane do roku 202</w:t>
      </w:r>
      <w:r w:rsidR="00595F4B">
        <w:t>3</w:t>
      </w:r>
      <w:r>
        <w:t>, ponieważ do tego okresu gmina ma ustalone terminy spłat zobowiązań. Przy prognozowaniu dochodów</w:t>
      </w:r>
      <w:r w:rsidR="00814412">
        <w:t xml:space="preserve"> uwzględnione zostały wskaźniki, które były uwzględniane również przy prognozowaniu dochodów budżetu państwa i w oparciu o które został sporządzony Wieloletni Plan Budżetu Państwa. Decydującym argumentem wzrostu dochodów na poszczególne lata w WPF Gminy Górzno były realia z nią związane, do których między innymi należą: planowany wzrost stawek podatków lokalnych, większe wpływy z podatków CIT i PIT w związku ze zmniejszającym się bezrobociem ( o czym świadczą wskaźniki Powiatowego Urzędu Pracy) i planowanym rozwojem zakładów przemysłowych (</w:t>
      </w:r>
      <w:r w:rsidR="009C23C2">
        <w:t>planowana jest na terenie gminy budowa</w:t>
      </w:r>
      <w:r w:rsidR="0094327F">
        <w:t xml:space="preserve"> „Biogazowani</w:t>
      </w:r>
      <w:r w:rsidR="00814412">
        <w:t>”</w:t>
      </w:r>
      <w:r w:rsidR="00D56D91">
        <w:t xml:space="preserve"> </w:t>
      </w:r>
      <w:r w:rsidR="00814412">
        <w:t>),</w:t>
      </w:r>
      <w:r w:rsidR="009C23C2">
        <w:t xml:space="preserve"> powstanie zakładu spowoduje </w:t>
      </w:r>
      <w:r w:rsidR="00814412">
        <w:t xml:space="preserve"> dodatkowe wpływy do gminy w postaci podatku od nieruchomości.</w:t>
      </w:r>
      <w:r w:rsidR="008546F6">
        <w:t xml:space="preserve"> Nowy podmiot złożył deklarację od posiadanych na stan obecny gruntów, na których powsta</w:t>
      </w:r>
      <w:r w:rsidR="009C23C2">
        <w:t>nie</w:t>
      </w:r>
      <w:r w:rsidR="008546F6">
        <w:t xml:space="preserve"> „Boigazownia”</w:t>
      </w:r>
      <w:r w:rsidR="00814412">
        <w:t xml:space="preserve"> Zostały też zaplanowane dochody majątkowe, które przedkładają się na dochody </w:t>
      </w:r>
      <w:r w:rsidR="00F63BFF">
        <w:t xml:space="preserve">z innych źródeł na dofinansowanie zadań inwestycyjnych, a także wpływy ze sprzedaży majątku. Zastosowane zostały również wskaźniki wzrostu subwencji otrzymanych z Ministerstwa na poziomie </w:t>
      </w:r>
      <w:r w:rsidR="008546F6">
        <w:t>2,</w:t>
      </w:r>
      <w:r w:rsidR="009C23C2">
        <w:t>4</w:t>
      </w:r>
      <w:r w:rsidR="00F63BFF">
        <w:t xml:space="preserve">% </w:t>
      </w:r>
      <w:r w:rsidR="005A2A8F">
        <w:t xml:space="preserve"> w przypadku subwencji oświatowej.</w:t>
      </w:r>
      <w:r w:rsidR="00F63BFF">
        <w:t xml:space="preserve"> Wszystkie te czynniki miały wpływ na ustalenie prognozowanych kwot dochodów.</w:t>
      </w:r>
    </w:p>
    <w:p w:rsidR="007F65A9" w:rsidRDefault="007F65A9" w:rsidP="00D547DA">
      <w:pPr>
        <w:jc w:val="both"/>
      </w:pPr>
      <w:r>
        <w:t>Zosta</w:t>
      </w:r>
      <w:r w:rsidR="008546F6">
        <w:t>ły</w:t>
      </w:r>
      <w:r>
        <w:t xml:space="preserve"> zaktualizowane wszystkie umow</w:t>
      </w:r>
      <w:r w:rsidR="004F00EA">
        <w:t>y dzierżawy, które w efekcie koń</w:t>
      </w:r>
      <w:r>
        <w:t xml:space="preserve">cowym powinny przynieść dodatkowe dochody dla gminy. Mieszkania komunalne zostały zinwentaryzowane </w:t>
      </w:r>
      <w:r>
        <w:lastRenderedPageBreak/>
        <w:t>w roku 2011</w:t>
      </w:r>
      <w:r w:rsidR="00C279EA">
        <w:t>, co m</w:t>
      </w:r>
      <w:r w:rsidR="009C23C2">
        <w:t>a</w:t>
      </w:r>
      <w:r w:rsidR="00C279EA">
        <w:t xml:space="preserve"> wpływ na dochody budżetu </w:t>
      </w:r>
      <w:r w:rsidR="008546F6">
        <w:t>gminy</w:t>
      </w:r>
      <w:r w:rsidR="009C23C2">
        <w:t>, co prawda w</w:t>
      </w:r>
      <w:r w:rsidR="008546F6">
        <w:t xml:space="preserve"> niewielkim stopniu na następne lata.</w:t>
      </w:r>
    </w:p>
    <w:p w:rsidR="0003216F" w:rsidRDefault="0003216F" w:rsidP="00D547DA">
      <w:pPr>
        <w:jc w:val="both"/>
      </w:pPr>
      <w:r>
        <w:t>Dochody majątkowe w poszczególnych latach przedstawione w WPF</w:t>
      </w:r>
      <w:r w:rsidR="00BF2F42">
        <w:t xml:space="preserve"> przedstawiają się następująco:</w:t>
      </w:r>
    </w:p>
    <w:p w:rsidR="00BF2F42" w:rsidRDefault="00BF2F42" w:rsidP="00D547DA">
      <w:pPr>
        <w:jc w:val="both"/>
      </w:pPr>
      <w:r>
        <w:t>W roku 20</w:t>
      </w:r>
      <w:r w:rsidR="00AF5328">
        <w:t>1</w:t>
      </w:r>
      <w:r>
        <w:t>4  kwotami składowymi dochodów są środki pochodzące ze sprzedaży majątku w kwocie 85.716,00 zł, środki unijne na dofinansowanie inwestycji w kwocie 2.264.154,00 zł., środki na dofinansowanie inwestycji pochodzące z innych źródeł (WFOŚiGW, FOGR) w kwocie 285.050,00, środki na dofinansowanie własnych inwestycji z wpłat ludności w kwocie 5.080,00zł,</w:t>
      </w:r>
    </w:p>
    <w:p w:rsidR="00AF5328" w:rsidRDefault="00AF5328" w:rsidP="00D547DA">
      <w:pPr>
        <w:jc w:val="both"/>
      </w:pPr>
      <w:r>
        <w:t>W roku 2015  dochody  majątkowe zostały zaprognozowane na kwotę 700.000,00 zł, z czego ze sprzedaży majątku kwota 137.796,00 zł, środki na dofinansowanie inwestycji ze środków unijnych 420.000,00 zł, w ramach środków „Rozwój obszarów zależnych od rybactwa z wyłączeniem realizacji operacji polegających na funkcjonowaniu lokalnej grupy działania (LGR0 oraz nabywania umiejętności i aktywizacji lokalnych</w:t>
      </w:r>
      <w:r w:rsidR="00D46487">
        <w:t xml:space="preserve"> społeczności: Program operacyjny – Zrównoważony rozwój sektora rybołówstwa i nadbrzeżnych obszarów rybackich”, oraz</w:t>
      </w:r>
      <w:r>
        <w:t xml:space="preserve"> dofinansowanie własnych inwestycji pochodzące z innych</w:t>
      </w:r>
      <w:r w:rsidR="00D46487">
        <w:t xml:space="preserve"> źródeł, to kwota 142.204,00 zł.</w:t>
      </w:r>
    </w:p>
    <w:p w:rsidR="00D46487" w:rsidRDefault="00D46487" w:rsidP="00D547DA">
      <w:pPr>
        <w:jc w:val="both"/>
      </w:pPr>
      <w:r>
        <w:t>W roku 2016 dochody majątkowe w kwocie 500.000,00, z tego  ze sprzedaży majątku 250.000,00zł, pozostał</w:t>
      </w:r>
      <w:r w:rsidR="00C62BB9">
        <w:t>a kwota to</w:t>
      </w:r>
      <w:r>
        <w:t xml:space="preserve"> dofinansowanie z innych źródeł inwestycji kontynuowanych i realizowanych jako jednoroczne.</w:t>
      </w:r>
    </w:p>
    <w:p w:rsidR="00D46487" w:rsidRDefault="00D46487" w:rsidP="00D547DA">
      <w:pPr>
        <w:jc w:val="both"/>
      </w:pPr>
      <w:r>
        <w:t xml:space="preserve">W roku 2017 dochody majątkowe w kwocie 1.000.000,00 zł, w tym ze sprzedaży majątku </w:t>
      </w:r>
      <w:r w:rsidR="00C62BB9">
        <w:t>2</w:t>
      </w:r>
      <w:r>
        <w:t>00.000,00 zł, pozostała kwota</w:t>
      </w:r>
      <w:r w:rsidR="00C62BB9">
        <w:t xml:space="preserve"> 800</w:t>
      </w:r>
      <w:r>
        <w:t>.000,00zł, to dofinansowanie rozbudowy ulicy Floriana w mieście Górzno.</w:t>
      </w:r>
    </w:p>
    <w:p w:rsidR="00F63BFF" w:rsidRDefault="00F63BFF" w:rsidP="00D547DA">
      <w:pPr>
        <w:jc w:val="both"/>
      </w:pPr>
      <w:r>
        <w:tab/>
        <w:t>Wydatki bieżące ( bez odsetek i prowizji od kredytów, pożyczek oraz wyemitowanych papierów wartościowych), których kwotą wyjściową były wydatki zaplanowane na rok 201</w:t>
      </w:r>
      <w:r w:rsidR="009C23C2">
        <w:t>4</w:t>
      </w:r>
      <w:r>
        <w:t xml:space="preserve"> i </w:t>
      </w:r>
      <w:r w:rsidR="004913ED">
        <w:t xml:space="preserve">przewidywane </w:t>
      </w:r>
      <w:r>
        <w:t>wykonanie roku 201</w:t>
      </w:r>
      <w:r w:rsidR="009C23C2">
        <w:t>3</w:t>
      </w:r>
      <w:r>
        <w:t xml:space="preserve">, do planowania których zostały uwzględnione wszystkie wnioski budżetowe skierowane do Burmistrza </w:t>
      </w:r>
      <w:r w:rsidR="005A2A8F">
        <w:t>G</w:t>
      </w:r>
      <w:r>
        <w:t>miny przez kierowników jednostek jak</w:t>
      </w:r>
      <w:r w:rsidR="0094327F">
        <w:t xml:space="preserve"> i </w:t>
      </w:r>
      <w:r>
        <w:t xml:space="preserve"> pracowników </w:t>
      </w:r>
      <w:r w:rsidR="0094327F">
        <w:t>z poszczególnych stanowisk</w:t>
      </w:r>
      <w:r>
        <w:t xml:space="preserve"> Urzędu.</w:t>
      </w:r>
      <w:r w:rsidR="005A2A8F">
        <w:t xml:space="preserve"> Wydatki bieżące zostały zaplanowane na rok 201</w:t>
      </w:r>
      <w:r w:rsidR="009C23C2">
        <w:t>4</w:t>
      </w:r>
      <w:r w:rsidR="005A2A8F">
        <w:t xml:space="preserve"> w </w:t>
      </w:r>
      <w:r w:rsidR="008546F6">
        <w:t xml:space="preserve">niewielkim </w:t>
      </w:r>
      <w:r w:rsidR="005A2A8F">
        <w:t xml:space="preserve"> wzroście</w:t>
      </w:r>
      <w:r w:rsidR="008546F6">
        <w:t>.</w:t>
      </w:r>
      <w:r w:rsidR="005A2A8F">
        <w:t xml:space="preserve"> Zaplanowany budżet na rok 201</w:t>
      </w:r>
      <w:r w:rsidR="009C23C2">
        <w:t>4</w:t>
      </w:r>
      <w:r w:rsidR="005A2A8F">
        <w:t xml:space="preserve"> </w:t>
      </w:r>
      <w:r w:rsidR="008546F6">
        <w:t xml:space="preserve"> po </w:t>
      </w:r>
      <w:r w:rsidR="005A2A8F">
        <w:t>likwidacji szkoły podstawowej i prz</w:t>
      </w:r>
      <w:r w:rsidR="008546F6">
        <w:t xml:space="preserve">ejęcie jej przez stowarzyszenie od </w:t>
      </w:r>
      <w:r w:rsidR="005A2A8F">
        <w:t xml:space="preserve"> </w:t>
      </w:r>
      <w:r w:rsidR="004F00EA">
        <w:t>września 2012</w:t>
      </w:r>
      <w:r w:rsidR="008546F6">
        <w:t xml:space="preserve"> przedstawi</w:t>
      </w:r>
      <w:r w:rsidR="009C23C2">
        <w:t>a</w:t>
      </w:r>
      <w:r w:rsidR="008546F6">
        <w:t xml:space="preserve"> mniejsze wydatki na wynagrodzenia</w:t>
      </w:r>
      <w:r w:rsidR="005A2A8F">
        <w:t>. Ogólnie w</w:t>
      </w:r>
      <w:r>
        <w:t>zrost wydatków bieżących został zaprognozowany o minimalne wskaźniki. W związku z tym</w:t>
      </w:r>
      <w:r w:rsidR="0094327F">
        <w:t>,</w:t>
      </w:r>
      <w:r>
        <w:t xml:space="preserve"> iż gmina spłaca w każdym roku zobowiązania zaciągnięte na inwestycje wykonywane w latach wcześniejszych (inwestycje były wykonane przy dofinansowaniu ze środków unijnych, czy też środków pozyskiwanych z innych źródeł), musi przyjąć program swej działalności ograniczając wydatki bieżące, prowadząc oszczędną i racjonalną gospodarkę. Prowadząc taką gospodarkę można było zaplanować również inwestycje na lata następne, aby dalej korzystać z dofinansowania ze środków UE</w:t>
      </w:r>
      <w:r w:rsidR="004913ED">
        <w:t>, przynajmniej na tyle, ile gmina będzie posiadała możliwości kredytow</w:t>
      </w:r>
      <w:r w:rsidR="00FC08F2">
        <w:t>e</w:t>
      </w:r>
      <w:r w:rsidR="004913ED">
        <w:t>.</w:t>
      </w:r>
    </w:p>
    <w:p w:rsidR="00E81546" w:rsidRDefault="00E81546" w:rsidP="00D547DA">
      <w:pPr>
        <w:jc w:val="both"/>
      </w:pPr>
      <w:r>
        <w:tab/>
        <w:t xml:space="preserve">W każdym roku gmina </w:t>
      </w:r>
      <w:r w:rsidR="004913ED">
        <w:t xml:space="preserve">stara się </w:t>
      </w:r>
      <w:r>
        <w:t>wygospodar</w:t>
      </w:r>
      <w:r w:rsidR="004913ED">
        <w:t>ować</w:t>
      </w:r>
      <w:r>
        <w:t xml:space="preserve"> środki wolne, przynajmniej w takiej wysokości, aby mieć na spłaty rat pożyczek, kredytów i wyemitowanych papierów wart</w:t>
      </w:r>
      <w:r w:rsidR="004913ED">
        <w:t>ościowych na dany rok budżetowy</w:t>
      </w:r>
      <w:r w:rsidR="006A099F">
        <w:t>. W przypadku planowania budżetu na rok 2014 wystąpiła konieczność planowania zaciągnięcia zobowiązania poprzez emisję obligacji, z przeznaczeniem na spłaty wcześniej zaciągniętych zobowiązań, ponieważ gmina nie będzie posiadała wymaganej kwoty wolnych środków. Gmina nie zaciągnęła planowanego zobowiązania w roku 2013 ( nie zostaną wykonane wszystkie zaplanowane inwestycje i nie dokona gmina wszystkich zaplanowanych spłat – tj pożyczki na wyprzedzające finansowanie, ponieważ do końca roku Urząd Marszałkowski nie przekaże środków z rozliczanej inwestycji).</w:t>
      </w:r>
      <w:r w:rsidR="004913ED">
        <w:t xml:space="preserve"> </w:t>
      </w:r>
    </w:p>
    <w:p w:rsidR="00C62BB9" w:rsidRDefault="00C62BB9" w:rsidP="00D547DA">
      <w:pPr>
        <w:jc w:val="both"/>
      </w:pPr>
    </w:p>
    <w:p w:rsidR="00E81546" w:rsidRDefault="00E81546" w:rsidP="00D547DA">
      <w:pPr>
        <w:jc w:val="both"/>
      </w:pPr>
      <w:r>
        <w:lastRenderedPageBreak/>
        <w:tab/>
        <w:t>Spłata  i obsługa długu gminy została zaprognozowana na lata od 201</w:t>
      </w:r>
      <w:r w:rsidR="00EC60D6">
        <w:t>3</w:t>
      </w:r>
      <w:r>
        <w:t xml:space="preserve"> do 202</w:t>
      </w:r>
      <w:r w:rsidR="00EC60D6">
        <w:t>3,</w:t>
      </w:r>
      <w:r>
        <w:t xml:space="preserve"> gdyż na taki okres są ustalone spłaty wcześniej zaciągniętych zobowiązań i tych, które gmina planuje zaciągnąć w przyszłości. Cała prognoza spłat rat i obsługa długu została oparta na informacjach z banków i WFOŚiGW, z których pożyczek gmina korzysta.</w:t>
      </w:r>
    </w:p>
    <w:p w:rsidR="00EC60D6" w:rsidRDefault="00EC60D6" w:rsidP="00D547DA">
      <w:pPr>
        <w:jc w:val="both"/>
      </w:pPr>
      <w:r>
        <w:t xml:space="preserve">Stan zobowiązań z tytułu zaciągniętych kredytów, pożyczek i emitowanych obligacji przewidywany na koniec roku 2013 wynosi </w:t>
      </w:r>
      <w:r w:rsidR="0003216F">
        <w:t xml:space="preserve"> </w:t>
      </w:r>
      <w:r>
        <w:t>3.</w:t>
      </w:r>
      <w:r w:rsidR="0003216F">
        <w:t>301.377,86</w:t>
      </w:r>
      <w:r>
        <w:t xml:space="preserve"> zł,</w:t>
      </w:r>
      <w:r w:rsidR="0003216F">
        <w:t xml:space="preserve"> są to pożyczki z WFOŚiGW, pożyczka na wyprzedzające finansowanie z BGK, obligacje bez rynku wtórnego w banku DnB NORD.</w:t>
      </w:r>
    </w:p>
    <w:p w:rsidR="00E81546" w:rsidRDefault="00E81546" w:rsidP="00D547DA">
      <w:pPr>
        <w:jc w:val="both"/>
      </w:pPr>
      <w:r>
        <w:tab/>
        <w:t>Wydatki majątkowe ujęte w Wieloletniej Prognozie Finansowej zostały przeniesione z załącznika do projektu budżetu gminy „Zadani</w:t>
      </w:r>
      <w:r w:rsidR="00FC08F2">
        <w:t>a</w:t>
      </w:r>
      <w:r>
        <w:t xml:space="preserve"> inwestycyjne na 201</w:t>
      </w:r>
      <w:r w:rsidR="0003216F">
        <w:t>4</w:t>
      </w:r>
      <w:r w:rsidR="007F65A9">
        <w:t xml:space="preserve"> </w:t>
      </w:r>
      <w:r>
        <w:t>rok” i przedsięwz</w:t>
      </w:r>
      <w:r w:rsidR="00ED64A6">
        <w:t>ięci</w:t>
      </w:r>
      <w:r w:rsidR="00FC08F2">
        <w:t>a</w:t>
      </w:r>
      <w:r w:rsidR="00ED64A6">
        <w:t xml:space="preserve"> ujęte</w:t>
      </w:r>
      <w:r w:rsidR="00DA0073">
        <w:t xml:space="preserve"> w załączniku Nr 2 Wieloletniej </w:t>
      </w:r>
      <w:r w:rsidR="007F65A9">
        <w:t>P</w:t>
      </w:r>
      <w:r w:rsidR="00DA0073">
        <w:t>rognozy Finansowej na poszczególne lata (201</w:t>
      </w:r>
      <w:r w:rsidR="0003216F">
        <w:t>4</w:t>
      </w:r>
      <w:r w:rsidR="00DA0073">
        <w:t>-2017).</w:t>
      </w:r>
    </w:p>
    <w:p w:rsidR="006B672D" w:rsidRDefault="00DA0073" w:rsidP="00D547DA">
      <w:pPr>
        <w:jc w:val="both"/>
      </w:pPr>
      <w:r>
        <w:tab/>
        <w:t>Kwota długu została przedstawiona w oparciu o ewidencję księgową zobowiązań na III kwartał 201</w:t>
      </w:r>
      <w:r w:rsidR="0003216F">
        <w:t>3</w:t>
      </w:r>
      <w:r w:rsidR="007F65A9">
        <w:t xml:space="preserve"> </w:t>
      </w:r>
      <w:r>
        <w:t>r. po uwzględnieniu spłat w IV kwartale 201</w:t>
      </w:r>
      <w:r w:rsidR="0003216F">
        <w:t>3</w:t>
      </w:r>
      <w:r>
        <w:t>r. i planowanych tym okresie przychodów. Po ustaleniu kwoty długu na koniec roku 201</w:t>
      </w:r>
      <w:r w:rsidR="0003216F">
        <w:t>3</w:t>
      </w:r>
      <w:r w:rsidR="004F00EA">
        <w:t xml:space="preserve"> </w:t>
      </w:r>
      <w:r>
        <w:t>i uwzględnieniu spłat w kolejnych latach, bądź też przychodów na koniec każdego roku budżetowego, gmina ustaliła realną kwotę długu na lata 201</w:t>
      </w:r>
      <w:r w:rsidR="0003216F">
        <w:t>3</w:t>
      </w:r>
      <w:r>
        <w:t>-202</w:t>
      </w:r>
      <w:r w:rsidR="0003216F">
        <w:t>3</w:t>
      </w:r>
      <w:r>
        <w:t>, uwzględniając łączną kwotę wyłączeń z art. 243 ust. 3 pkt 1 oraz art. 1</w:t>
      </w:r>
      <w:r w:rsidR="00FC08F2">
        <w:t>70</w:t>
      </w:r>
      <w:r>
        <w:t xml:space="preserve"> ust. </w:t>
      </w:r>
      <w:r w:rsidR="006B672D">
        <w:t>3 sufp</w:t>
      </w:r>
      <w:r w:rsidR="00FC08F2">
        <w:t>, przypadające w danym roku budżetowym.</w:t>
      </w:r>
    </w:p>
    <w:p w:rsidR="007C7E6A" w:rsidRDefault="007C7E6A" w:rsidP="00D547DA">
      <w:pPr>
        <w:jc w:val="both"/>
      </w:pPr>
    </w:p>
    <w:p w:rsidR="007C7E6A" w:rsidRDefault="007C7E6A" w:rsidP="00D547DA">
      <w:pPr>
        <w:jc w:val="both"/>
      </w:pPr>
    </w:p>
    <w:p w:rsidR="007C7E6A" w:rsidRDefault="007C7E6A" w:rsidP="00D547DA">
      <w:pPr>
        <w:jc w:val="both"/>
      </w:pPr>
      <w:r>
        <w:t>Sporządził:</w:t>
      </w:r>
    </w:p>
    <w:p w:rsidR="007C7E6A" w:rsidRDefault="007C7E6A" w:rsidP="00D547DA">
      <w:pPr>
        <w:jc w:val="both"/>
      </w:pPr>
      <w:r>
        <w:t>Barbara Krawczyńska</w:t>
      </w:r>
    </w:p>
    <w:p w:rsidR="007C7E6A" w:rsidRDefault="007C7E6A" w:rsidP="00D547DA">
      <w:pPr>
        <w:jc w:val="both"/>
      </w:pPr>
      <w:r>
        <w:t>Skarbnik Gminy</w:t>
      </w: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</w:p>
    <w:p w:rsidR="006B672D" w:rsidRDefault="006B672D" w:rsidP="00D547DA">
      <w:pPr>
        <w:jc w:val="both"/>
      </w:pPr>
    </w:p>
    <w:sectPr w:rsidR="006B672D" w:rsidSect="00396C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E6A" w:rsidRDefault="007C7E6A" w:rsidP="007C7E6A">
      <w:r>
        <w:separator/>
      </w:r>
    </w:p>
  </w:endnote>
  <w:endnote w:type="continuationSeparator" w:id="1">
    <w:p w:rsidR="007C7E6A" w:rsidRDefault="007C7E6A" w:rsidP="007C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7001"/>
      <w:docPartObj>
        <w:docPartGallery w:val="Page Numbers (Bottom of Page)"/>
        <w:docPartUnique/>
      </w:docPartObj>
    </w:sdtPr>
    <w:sdtContent>
      <w:p w:rsidR="007C7E6A" w:rsidRDefault="00A6242A">
        <w:pPr>
          <w:pStyle w:val="Stopka"/>
          <w:jc w:val="center"/>
        </w:pPr>
        <w:fldSimple w:instr=" PAGE   \* MERGEFORMAT ">
          <w:r w:rsidR="00FE37A0">
            <w:rPr>
              <w:noProof/>
            </w:rPr>
            <w:t>1</w:t>
          </w:r>
        </w:fldSimple>
      </w:p>
    </w:sdtContent>
  </w:sdt>
  <w:p w:rsidR="007C7E6A" w:rsidRDefault="007C7E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E6A" w:rsidRDefault="007C7E6A" w:rsidP="007C7E6A">
      <w:r>
        <w:separator/>
      </w:r>
    </w:p>
  </w:footnote>
  <w:footnote w:type="continuationSeparator" w:id="1">
    <w:p w:rsidR="007C7E6A" w:rsidRDefault="007C7E6A" w:rsidP="007C7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7A21"/>
    <w:multiLevelType w:val="hybridMultilevel"/>
    <w:tmpl w:val="DEB08632"/>
    <w:lvl w:ilvl="0" w:tplc="5C188F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489"/>
    <w:rsid w:val="00027BC2"/>
    <w:rsid w:val="0003216F"/>
    <w:rsid w:val="000F7D45"/>
    <w:rsid w:val="00160A69"/>
    <w:rsid w:val="00217608"/>
    <w:rsid w:val="00256781"/>
    <w:rsid w:val="0032690D"/>
    <w:rsid w:val="00396C42"/>
    <w:rsid w:val="00474436"/>
    <w:rsid w:val="004913ED"/>
    <w:rsid w:val="004C510A"/>
    <w:rsid w:val="004F00EA"/>
    <w:rsid w:val="00594280"/>
    <w:rsid w:val="00595F4B"/>
    <w:rsid w:val="005A2A8F"/>
    <w:rsid w:val="005B15A5"/>
    <w:rsid w:val="006A099F"/>
    <w:rsid w:val="006B672D"/>
    <w:rsid w:val="007C7E6A"/>
    <w:rsid w:val="007F65A9"/>
    <w:rsid w:val="00814412"/>
    <w:rsid w:val="00835C24"/>
    <w:rsid w:val="008546F6"/>
    <w:rsid w:val="008F5324"/>
    <w:rsid w:val="0094327F"/>
    <w:rsid w:val="00960788"/>
    <w:rsid w:val="009A228C"/>
    <w:rsid w:val="009C23C2"/>
    <w:rsid w:val="00A6242A"/>
    <w:rsid w:val="00A65748"/>
    <w:rsid w:val="00AF5328"/>
    <w:rsid w:val="00BB3DF9"/>
    <w:rsid w:val="00BE3DF6"/>
    <w:rsid w:val="00BF2F42"/>
    <w:rsid w:val="00C279EA"/>
    <w:rsid w:val="00C62BB9"/>
    <w:rsid w:val="00D15489"/>
    <w:rsid w:val="00D46487"/>
    <w:rsid w:val="00D547DA"/>
    <w:rsid w:val="00D56D91"/>
    <w:rsid w:val="00DA0073"/>
    <w:rsid w:val="00E81546"/>
    <w:rsid w:val="00EC60D6"/>
    <w:rsid w:val="00ED64A6"/>
    <w:rsid w:val="00F63BFF"/>
    <w:rsid w:val="00FC08F2"/>
    <w:rsid w:val="00FE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6C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A00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5C24"/>
    <w:pPr>
      <w:ind w:left="720"/>
      <w:contextualSpacing/>
    </w:pPr>
  </w:style>
  <w:style w:type="paragraph" w:styleId="Nagwek">
    <w:name w:val="header"/>
    <w:basedOn w:val="Normalny"/>
    <w:link w:val="NagwekZnak"/>
    <w:rsid w:val="007C7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7E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7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E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1152</Words>
  <Characters>7315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OBJAŚNIENIE</vt:lpstr>
    </vt:vector>
  </TitlesOfParts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OBJAŚNIENIE</dc:title>
  <dc:subject/>
  <dc:creator>UG Górzno</dc:creator>
  <cp:keywords/>
  <dc:description/>
  <cp:lastModifiedBy>user</cp:lastModifiedBy>
  <cp:revision>2</cp:revision>
  <cp:lastPrinted>2013-11-14T12:17:00Z</cp:lastPrinted>
  <dcterms:created xsi:type="dcterms:W3CDTF">2014-01-09T10:22:00Z</dcterms:created>
  <dcterms:modified xsi:type="dcterms:W3CDTF">2014-01-09T10:22:00Z</dcterms:modified>
</cp:coreProperties>
</file>