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6B" w:rsidRDefault="0080790D" w:rsidP="002B7C6B">
      <w:pPr>
        <w:widowControl w:val="0"/>
        <w:suppressAutoHyphens/>
        <w:jc w:val="right"/>
        <w:rPr>
          <w:rFonts w:eastAsia="Tahoma" w:cs="Tahoma"/>
          <w:kern w:val="2"/>
        </w:rPr>
      </w:pPr>
      <w:r>
        <w:t>Górzno</w:t>
      </w:r>
      <w:r w:rsidR="0055106B">
        <w:t>, dnia 09.04</w:t>
      </w:r>
      <w:r w:rsidR="002B7C6B">
        <w:t xml:space="preserve"> 201</w:t>
      </w:r>
      <w:r w:rsidR="0055106B">
        <w:t>5</w:t>
      </w:r>
      <w:r w:rsidR="002B7C6B">
        <w:t xml:space="preserve"> r. </w:t>
      </w:r>
    </w:p>
    <w:p w:rsidR="002B7C6B" w:rsidRDefault="002B7C6B" w:rsidP="002B7C6B">
      <w:pPr>
        <w:widowControl w:val="0"/>
        <w:suppressAutoHyphens/>
        <w:jc w:val="right"/>
        <w:rPr>
          <w:rFonts w:eastAsia="Tahoma" w:cs="Tahoma"/>
          <w:kern w:val="2"/>
        </w:rPr>
      </w:pPr>
    </w:p>
    <w:p w:rsidR="002B7C6B" w:rsidRDefault="002B7C6B" w:rsidP="002B7C6B">
      <w:pPr>
        <w:widowControl w:val="0"/>
        <w:suppressAutoHyphens/>
        <w:jc w:val="both"/>
        <w:rPr>
          <w:rFonts w:eastAsia="Tahoma" w:cs="Tahoma"/>
          <w:kern w:val="2"/>
        </w:rPr>
      </w:pPr>
    </w:p>
    <w:p w:rsidR="002B7C6B" w:rsidRDefault="002B7C6B" w:rsidP="002B7C6B">
      <w:pPr>
        <w:widowControl w:val="0"/>
        <w:suppressAutoHyphens/>
        <w:jc w:val="both"/>
        <w:rPr>
          <w:rFonts w:eastAsia="Tahoma" w:cs="Tahoma"/>
          <w:kern w:val="2"/>
        </w:rPr>
      </w:pPr>
    </w:p>
    <w:p w:rsidR="002B7C6B" w:rsidRDefault="0080790D" w:rsidP="002B7C6B">
      <w:pPr>
        <w:widowControl w:val="0"/>
        <w:suppressAutoHyphens/>
        <w:jc w:val="both"/>
        <w:rPr>
          <w:rFonts w:eastAsia="Tahoma" w:cs="Tahoma"/>
          <w:kern w:val="2"/>
        </w:rPr>
      </w:pPr>
      <w:r>
        <w:t>OŚ. 6220.1.2015</w:t>
      </w:r>
    </w:p>
    <w:p w:rsidR="002B7C6B" w:rsidRDefault="002B7C6B" w:rsidP="002B7C6B">
      <w:pPr>
        <w:widowControl w:val="0"/>
        <w:suppressAutoHyphens/>
        <w:jc w:val="both"/>
        <w:rPr>
          <w:rFonts w:eastAsia="Tahoma" w:cs="Tahoma"/>
          <w:kern w:val="2"/>
        </w:rPr>
      </w:pPr>
    </w:p>
    <w:p w:rsidR="002B7C6B" w:rsidRDefault="002B7C6B" w:rsidP="002B7C6B">
      <w:pPr>
        <w:widowControl w:val="0"/>
        <w:suppressAutoHyphens/>
        <w:jc w:val="center"/>
        <w:rPr>
          <w:rFonts w:eastAsia="Tahoma" w:cs="Tahoma"/>
          <w:bCs/>
          <w:kern w:val="2"/>
        </w:rPr>
      </w:pPr>
    </w:p>
    <w:p w:rsidR="002B7C6B" w:rsidRDefault="002B7C6B" w:rsidP="002B7C6B">
      <w:pPr>
        <w:widowControl w:val="0"/>
        <w:suppressAutoHyphens/>
        <w:jc w:val="center"/>
        <w:rPr>
          <w:rFonts w:eastAsia="Tahoma" w:cs="Tahoma"/>
          <w:b/>
          <w:bCs/>
          <w:kern w:val="2"/>
        </w:rPr>
      </w:pPr>
      <w:r>
        <w:rPr>
          <w:b/>
          <w:bCs/>
        </w:rPr>
        <w:t>P O S T A N O W I E N I E</w:t>
      </w:r>
    </w:p>
    <w:p w:rsidR="002B7C6B" w:rsidRDefault="002B7C6B" w:rsidP="002B7C6B">
      <w:pPr>
        <w:widowControl w:val="0"/>
        <w:suppressAutoHyphens/>
        <w:jc w:val="right"/>
        <w:rPr>
          <w:rFonts w:eastAsia="Tahoma" w:cs="Tahoma"/>
          <w:bCs/>
          <w:iCs/>
          <w:kern w:val="2"/>
        </w:rPr>
      </w:pPr>
    </w:p>
    <w:p w:rsidR="002B7C6B" w:rsidRDefault="002B7C6B" w:rsidP="002B7C6B">
      <w:pPr>
        <w:widowControl w:val="0"/>
        <w:suppressAutoHyphens/>
        <w:jc w:val="center"/>
        <w:rPr>
          <w:rFonts w:eastAsia="Tahoma" w:cs="Tahoma"/>
          <w:b/>
          <w:kern w:val="2"/>
        </w:rPr>
      </w:pPr>
      <w:r>
        <w:rPr>
          <w:b/>
          <w:bCs/>
          <w:iCs/>
        </w:rPr>
        <w:t>w</w:t>
      </w:r>
      <w:r>
        <w:rPr>
          <w:b/>
        </w:rPr>
        <w:t xml:space="preserve"> sprawie obowiązku przeprowadzenia oceny oddziaływania przedsięwzięcia na środowisko</w:t>
      </w:r>
    </w:p>
    <w:p w:rsidR="002B7C6B" w:rsidRDefault="000051AE" w:rsidP="002B7C6B">
      <w:pPr>
        <w:widowControl w:val="0"/>
        <w:suppressAutoHyphens/>
        <w:jc w:val="both"/>
        <w:rPr>
          <w:rFonts w:eastAsia="Tahoma" w:cs="Tahoma"/>
          <w:kern w:val="2"/>
        </w:rPr>
      </w:pPr>
      <w:r>
        <w:rPr>
          <w:rFonts w:eastAsia="Tahoma" w:cs="Tahoma"/>
          <w:kern w:val="2"/>
        </w:rPr>
        <w:t xml:space="preserve"> </w:t>
      </w:r>
    </w:p>
    <w:p w:rsidR="002B7C6B" w:rsidRDefault="002B7C6B" w:rsidP="002B7C6B">
      <w:pPr>
        <w:widowControl w:val="0"/>
        <w:suppressAutoHyphens/>
        <w:jc w:val="center"/>
        <w:rPr>
          <w:rFonts w:eastAsia="Tahoma" w:cs="Tahoma"/>
          <w:bCs/>
          <w:iCs/>
          <w:kern w:val="2"/>
        </w:rPr>
      </w:pPr>
    </w:p>
    <w:p w:rsidR="002B7C6B" w:rsidRDefault="002B7C6B" w:rsidP="002B7C6B">
      <w:pPr>
        <w:widowControl w:val="0"/>
        <w:suppressAutoHyphens/>
        <w:jc w:val="both"/>
        <w:rPr>
          <w:rFonts w:eastAsia="Tahoma" w:cs="Tahoma"/>
          <w:bCs/>
          <w:i/>
          <w:iCs/>
          <w:kern w:val="2"/>
        </w:rPr>
      </w:pPr>
    </w:p>
    <w:p w:rsidR="002B7C6B" w:rsidRDefault="002B7C6B" w:rsidP="002B7C6B">
      <w:pPr>
        <w:widowControl w:val="0"/>
        <w:suppressAutoHyphens/>
        <w:jc w:val="both"/>
        <w:rPr>
          <w:rFonts w:eastAsia="Tahoma" w:cs="Tahoma"/>
          <w:bCs/>
          <w:i/>
          <w:iCs/>
          <w:kern w:val="2"/>
        </w:rPr>
      </w:pPr>
    </w:p>
    <w:p w:rsidR="002B7C6B" w:rsidRDefault="0055106B" w:rsidP="002B7C6B">
      <w:pPr>
        <w:widowControl w:val="0"/>
        <w:suppressAutoHyphens/>
        <w:jc w:val="both"/>
        <w:rPr>
          <w:rFonts w:eastAsia="Tahoma" w:cs="Tahoma"/>
          <w:kern w:val="2"/>
        </w:rPr>
      </w:pPr>
      <w:r>
        <w:tab/>
        <w:t>Na podstawie art. 63 ust.1 i ust.4,</w:t>
      </w:r>
      <w:r w:rsidR="002B7C6B">
        <w:t xml:space="preserve"> art. 66 ust. 1 oraz ust. 2 i 6 ustawy z dnia 3 października 2008 r. o udostępnianiu informacji o środowisku i jego ochronie, udziale społeczeństwa w ochronie środowiska oraz o ocenach oddziaływania na środowisko (Dz. U. z 2013 r., poz. 1235 z późn. zm.) oraz art. 123 ustawy z dnia 14 czerwca 1960 r. - Kodeks postępowania administracyjnego (Dz. U. z 2013 r. poz. 267  z późn. zm.), po zaciągnięciu opinii Regionalnego Dyrektora Ochrony Środ</w:t>
      </w:r>
      <w:r>
        <w:t>owiska w Bydgoszczy nr WOO.4240.107.2015.PP</w:t>
      </w:r>
      <w:r w:rsidR="002B7C6B">
        <w:t xml:space="preserve"> </w:t>
      </w:r>
      <w:r>
        <w:t>z dnia 13.03.</w:t>
      </w:r>
      <w:r w:rsidR="000051AE">
        <w:t xml:space="preserve">2015 </w:t>
      </w:r>
      <w:r w:rsidR="002B7C6B">
        <w:t>r. oraz  Państwowego Powiatowego Inspektora Sanitarne</w:t>
      </w:r>
      <w:r>
        <w:t>go w Brodnicy nr N.NZ-42-G-83/1292/15 z dn</w:t>
      </w:r>
      <w:r w:rsidR="000051AE">
        <w:t>.12.03.2015 r</w:t>
      </w:r>
    </w:p>
    <w:p w:rsidR="002B7C6B" w:rsidRDefault="002B7C6B" w:rsidP="002B7C6B">
      <w:pPr>
        <w:widowControl w:val="0"/>
        <w:suppressAutoHyphens/>
        <w:jc w:val="both"/>
        <w:rPr>
          <w:rFonts w:eastAsia="Tahoma" w:cs="Tahoma"/>
          <w:bCs/>
          <w:i/>
          <w:iCs/>
          <w:kern w:val="2"/>
        </w:rPr>
      </w:pPr>
    </w:p>
    <w:p w:rsidR="002B7C6B" w:rsidRDefault="002B7C6B" w:rsidP="002B7C6B">
      <w:pPr>
        <w:widowControl w:val="0"/>
        <w:suppressAutoHyphens/>
        <w:jc w:val="center"/>
        <w:rPr>
          <w:rFonts w:eastAsia="Tahoma" w:cs="Tahoma"/>
          <w:b/>
          <w:bCs/>
          <w:kern w:val="2"/>
        </w:rPr>
      </w:pPr>
      <w:r>
        <w:rPr>
          <w:b/>
          <w:bCs/>
        </w:rPr>
        <w:t>p o s t a n a w i a m</w:t>
      </w:r>
    </w:p>
    <w:p w:rsidR="002B7C6B" w:rsidRDefault="002B7C6B" w:rsidP="002B7C6B">
      <w:pPr>
        <w:widowControl w:val="0"/>
        <w:suppressAutoHyphens/>
        <w:jc w:val="both"/>
        <w:rPr>
          <w:rFonts w:eastAsia="Tahoma" w:cs="Tahoma"/>
          <w:b/>
          <w:i/>
          <w:iCs/>
          <w:kern w:val="2"/>
        </w:rPr>
      </w:pPr>
    </w:p>
    <w:p w:rsidR="007107C8" w:rsidRDefault="000051AE" w:rsidP="002B7C6B">
      <w:pPr>
        <w:widowControl w:val="0"/>
        <w:suppressAutoHyphens/>
        <w:jc w:val="both"/>
      </w:pPr>
      <w:r>
        <w:t xml:space="preserve">1.Nałożyć </w:t>
      </w:r>
      <w:r w:rsidR="002B7C6B">
        <w:t>obowiązek  przeprowadzenia oceny  oddziaływania przedsięwzięcia  na środowisko planowanego przed</w:t>
      </w:r>
      <w:r w:rsidR="007107C8">
        <w:t xml:space="preserve">sięwzięcia mogącego </w:t>
      </w:r>
      <w:r w:rsidR="002B7C6B">
        <w:t>znacząco oddziaływać na środowisko, w związku</w:t>
      </w:r>
      <w:r>
        <w:t xml:space="preserve"> z § 3 ust. 1 pkt 89 </w:t>
      </w:r>
      <w:proofErr w:type="spellStart"/>
      <w:r>
        <w:t>lit.c</w:t>
      </w:r>
      <w:proofErr w:type="spellEnd"/>
      <w:r>
        <w:t xml:space="preserve"> </w:t>
      </w:r>
      <w:r w:rsidR="002B7C6B">
        <w:t xml:space="preserve"> rozporządzenia Rady Mi</w:t>
      </w:r>
      <w:r w:rsidR="004728E3">
        <w:t>nistrów  z dnia 9 listopada 2010</w:t>
      </w:r>
      <w:r w:rsidR="002B7C6B">
        <w:t xml:space="preserve"> roku</w:t>
      </w:r>
      <w:r w:rsidR="004728E3">
        <w:t xml:space="preserve"> w sprawie </w:t>
      </w:r>
      <w:r w:rsidR="002B7C6B">
        <w:t xml:space="preserve">   przedsięwzięć mogących znacząco oddziaływać na środowisko</w:t>
      </w:r>
      <w:r w:rsidR="004728E3">
        <w:t xml:space="preserve"> ( </w:t>
      </w:r>
      <w:proofErr w:type="spellStart"/>
      <w:r w:rsidR="004728E3">
        <w:t>Dz.U</w:t>
      </w:r>
      <w:proofErr w:type="spellEnd"/>
      <w:r w:rsidR="004728E3">
        <w:t>.  Nr 213, poz</w:t>
      </w:r>
      <w:r w:rsidR="00192A45">
        <w:t xml:space="preserve">. 1397 ze zm.) </w:t>
      </w:r>
      <w:r w:rsidR="004728E3">
        <w:t xml:space="preserve"> polegającego</w:t>
      </w:r>
      <w:r w:rsidR="00192A45">
        <w:t xml:space="preserve"> na </w:t>
      </w:r>
      <w:r w:rsidR="004728E3">
        <w:t xml:space="preserve"> </w:t>
      </w:r>
      <w:r>
        <w:t xml:space="preserve">zalesieniu gruntu rolnego </w:t>
      </w:r>
      <w:proofErr w:type="spellStart"/>
      <w:r>
        <w:t>Ps</w:t>
      </w:r>
      <w:proofErr w:type="spellEnd"/>
      <w:r>
        <w:t xml:space="preserve"> VI o pow. O,86 ha, realizowane na części dz. nr 7086/8 obręb geodezyjny Czarny Bryńsk, gm. Górzno.</w:t>
      </w:r>
    </w:p>
    <w:p w:rsidR="00BD4EAD" w:rsidRDefault="000051AE" w:rsidP="00175BB1">
      <w:pPr>
        <w:widowControl w:val="0"/>
        <w:suppressAutoHyphens/>
        <w:jc w:val="both"/>
      </w:pPr>
      <w:r>
        <w:t xml:space="preserve">2.Ustalić </w:t>
      </w:r>
      <w:r w:rsidR="00BD4EAD">
        <w:t>zakres raportu</w:t>
      </w:r>
      <w:r w:rsidR="00175BB1">
        <w:t xml:space="preserve"> </w:t>
      </w:r>
      <w:r w:rsidR="00BD4EAD">
        <w:t xml:space="preserve">o oddziaływaniu  przedsięwzięcia na środowisko  zgodny z art. 66 ust.1 pkt.1-9, 11-20, a także ust. 6 ww. ustawy z dnia 3 października 2008 r. o udostępnieniu informacji o środowisku i jego ochronie, udziale społeczeństwa w ochronie środowiska oraz o ocenach oddziaływania na środowisko </w:t>
      </w:r>
      <w:r>
        <w:t>uwzględniający</w:t>
      </w:r>
      <w:r w:rsidR="00BD4EAD">
        <w:t>:</w:t>
      </w:r>
      <w:r w:rsidR="000E1229">
        <w:t xml:space="preserve"> </w:t>
      </w:r>
    </w:p>
    <w:p w:rsidR="000051AE" w:rsidRDefault="000051AE" w:rsidP="00175BB1">
      <w:pPr>
        <w:widowControl w:val="0"/>
        <w:suppressAutoHyphens/>
        <w:jc w:val="both"/>
      </w:pPr>
      <w:r>
        <w:t xml:space="preserve">1. </w:t>
      </w:r>
      <w:r w:rsidR="00B618DC">
        <w:t>Analizę wpływu planowanego przedsięwzięcia na ochronę przyrody Górznieńsko-Lidzbarskiego parku Krajobrazowego.</w:t>
      </w:r>
    </w:p>
    <w:p w:rsidR="00B618DC" w:rsidRDefault="00B618DC" w:rsidP="00175BB1">
      <w:pPr>
        <w:widowControl w:val="0"/>
        <w:suppressAutoHyphens/>
        <w:jc w:val="both"/>
      </w:pPr>
      <w:r>
        <w:t>2.  Wyniki inwentaryzacji przyrodniczej dla planowanych do zalesienia terenów wykonanej w pełni okresu wegetacyjnego, w tym sporządzenie zdjęć fitosocjologicznych.</w:t>
      </w:r>
    </w:p>
    <w:p w:rsidR="00B618DC" w:rsidRDefault="00B618DC" w:rsidP="00175BB1">
      <w:pPr>
        <w:widowControl w:val="0"/>
        <w:suppressAutoHyphens/>
        <w:jc w:val="both"/>
      </w:pPr>
      <w:r>
        <w:t>3.  Analizę czy planowanego zalesienie nie pokrywa się z gruntami, które w dokumentacji do projektu planu zadań ochronnych dla obszaru Natura 2000 Ostoja Lidzbarska PLH280012 zostały wskazane jako łąki użytkowane ekstensywnie (</w:t>
      </w:r>
      <w:proofErr w:type="spellStart"/>
      <w:r>
        <w:rPr>
          <w:i/>
        </w:rPr>
        <w:t>Arrhenatherion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elatioris</w:t>
      </w:r>
      <w:proofErr w:type="spellEnd"/>
      <w:r>
        <w:rPr>
          <w:i/>
        </w:rPr>
        <w:t>)</w:t>
      </w:r>
      <w:r>
        <w:t xml:space="preserve"> 6510, mające znaczenie dla Wspólnoty i stanowiące przedmiot ochrony ww. obszaru Natura 2000 na podstawie rozporządzenia Ministra Środowiska z dnia 13 kwietnia 2010 r. w sprawie siedlisk przyrodniczych oraz gatunków będących przedmiotem </w:t>
      </w:r>
      <w:r w:rsidR="00AD12EA">
        <w:t>zainteresowania Wspólnoty, a także kryteriów wyboru obszarów kwalifikujących się do uznania lub wyznaczenia jako obszary Natura 2000 (Dz. U. z 2014 r., poz.1713).</w:t>
      </w:r>
    </w:p>
    <w:p w:rsidR="00CB2D80" w:rsidRDefault="00CB2D80" w:rsidP="00175BB1">
      <w:pPr>
        <w:widowControl w:val="0"/>
        <w:suppressAutoHyphens/>
        <w:jc w:val="both"/>
      </w:pPr>
      <w:r>
        <w:t>4. Ocenę wpływu planowanego zalesienia na zachowanie siedlisk niżowych i górskich świeżych łąk użytkowych ekstensywnie (</w:t>
      </w:r>
      <w:proofErr w:type="spellStart"/>
      <w:r w:rsidRPr="00CB2D80">
        <w:rPr>
          <w:i/>
        </w:rPr>
        <w:t>Arrhen</w:t>
      </w:r>
      <w:r>
        <w:rPr>
          <w:i/>
        </w:rPr>
        <w:t>atherion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elatioris</w:t>
      </w:r>
      <w:proofErr w:type="spellEnd"/>
      <w:r>
        <w:t xml:space="preserve">) 6510, wskazanych w </w:t>
      </w:r>
      <w:r>
        <w:lastRenderedPageBreak/>
        <w:t xml:space="preserve">dokumentacji do projektu planu zadań ochronnych dla obszaru Natura 2000 Ostoja Lidzbarska PLH280012 w pododdziałach: 86x 86y 9 (część) wg Planu Urządzania Lasu dla Nadleśnictwa Brodnica na lata 2005-2014. Zgodnie z projektem planu zadań ochronnych dla ww. obszaru Natura 2000 celem działań ochronnych jest między innymi. Utrzymanie </w:t>
      </w:r>
      <w:proofErr w:type="spellStart"/>
      <w:r>
        <w:t>w.w</w:t>
      </w:r>
      <w:proofErr w:type="spellEnd"/>
      <w:r>
        <w:t xml:space="preserve"> łąk w obecnym właściwym (FV) stanie ochrony.</w:t>
      </w:r>
    </w:p>
    <w:p w:rsidR="00CB2D80" w:rsidRDefault="00CB2D80" w:rsidP="00175BB1">
      <w:pPr>
        <w:widowControl w:val="0"/>
        <w:suppressAutoHyphens/>
        <w:jc w:val="both"/>
      </w:pPr>
      <w:r>
        <w:t>5.  Planowane zamierzenia względem stanowisk gatunków roślin objętych ochroną częściową (pozostawienie, uzyskanie zezwolenia na odstępstwo od zakazów itp.)</w:t>
      </w:r>
      <w:r w:rsidR="00285906">
        <w:t>.</w:t>
      </w:r>
    </w:p>
    <w:p w:rsidR="00285906" w:rsidRDefault="00285906" w:rsidP="00175BB1">
      <w:pPr>
        <w:widowControl w:val="0"/>
        <w:suppressAutoHyphens/>
        <w:jc w:val="both"/>
      </w:pPr>
      <w:r>
        <w:t>6.  Planowany do wprowadzenia skład gatunkowy projektowanego założenia uprawy na gruncie porolnym.</w:t>
      </w:r>
    </w:p>
    <w:p w:rsidR="00285906" w:rsidRDefault="00285906" w:rsidP="00175BB1">
      <w:pPr>
        <w:widowControl w:val="0"/>
        <w:suppressAutoHyphens/>
        <w:jc w:val="both"/>
      </w:pPr>
      <w:r>
        <w:t>7.  Oszacowanie oddziaływania skumulowanego planowanego zamierzenia z innymi przedsięwzięciami takiego samego bądź podobnego typu.</w:t>
      </w:r>
    </w:p>
    <w:p w:rsidR="00C664D6" w:rsidRDefault="00C664D6" w:rsidP="00175BB1">
      <w:pPr>
        <w:widowControl w:val="0"/>
        <w:suppressAutoHyphens/>
        <w:jc w:val="both"/>
      </w:pPr>
      <w:r>
        <w:t xml:space="preserve">  </w:t>
      </w:r>
    </w:p>
    <w:p w:rsidR="00C664D6" w:rsidRDefault="00C664D6" w:rsidP="00C664D6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t xml:space="preserve">          </w:t>
      </w:r>
      <w:r>
        <w:rPr>
          <w:rFonts w:eastAsia="Tahoma" w:cs="Tahoma"/>
          <w:iCs/>
          <w:kern w:val="2"/>
        </w:rPr>
        <w:t>Raport powinien również zawierać analizę oddziaływań skumulowanych, która obejmowałaby wszystkie oddziaływania generowane przez zamierzenie w połączeniu z oddziaływaniami tego samego typu, pochodzącymi od wszystkich sąsiadujących z nim przedsięwzięć.</w:t>
      </w:r>
    </w:p>
    <w:p w:rsidR="00C664D6" w:rsidRDefault="00C664D6" w:rsidP="00C664D6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 Na etapie oceny oddziaływania inwestycji na środowisko konieczne jest także ustalenie, czy jej realizacja będzie przebiegała według wariantu optymalnego nie tylko dla samego Inwestora, ale i dla wszystkich właścicieli sąsiednich nieruchomości.</w:t>
      </w:r>
    </w:p>
    <w:p w:rsidR="00C664D6" w:rsidRPr="00CB2D80" w:rsidRDefault="00C664D6" w:rsidP="00C664D6">
      <w:pPr>
        <w:widowControl w:val="0"/>
        <w:suppressAutoHyphens/>
        <w:jc w:val="both"/>
      </w:pPr>
      <w:r>
        <w:rPr>
          <w:rFonts w:eastAsia="Tahoma" w:cs="Tahoma"/>
          <w:iCs/>
          <w:kern w:val="2"/>
        </w:rPr>
        <w:t xml:space="preserve">         Wpływ przedsięwzięcia na środowisko należy przedstawić zarówno na etapie jej realizacji, jak i likwidacji</w:t>
      </w:r>
    </w:p>
    <w:p w:rsidR="002B7C6B" w:rsidRDefault="002B7C6B" w:rsidP="00821675">
      <w:pPr>
        <w:widowControl w:val="0"/>
        <w:suppressAutoHyphens/>
        <w:jc w:val="both"/>
        <w:rPr>
          <w:rFonts w:eastAsia="Tahoma" w:cs="Tahoma"/>
          <w:i/>
          <w:iCs/>
          <w:kern w:val="2"/>
        </w:rPr>
      </w:pPr>
    </w:p>
    <w:p w:rsidR="002B7C6B" w:rsidRDefault="002B7C6B" w:rsidP="00821675">
      <w:pPr>
        <w:widowControl w:val="0"/>
        <w:suppressAutoHyphens/>
        <w:jc w:val="center"/>
        <w:rPr>
          <w:rFonts w:eastAsia="Tahoma" w:cs="Tahoma"/>
          <w:bCs/>
          <w:kern w:val="2"/>
        </w:rPr>
      </w:pPr>
      <w:r>
        <w:rPr>
          <w:bCs/>
        </w:rPr>
        <w:t>U z a s a d n i e n i e</w:t>
      </w:r>
    </w:p>
    <w:p w:rsidR="002B7C6B" w:rsidRDefault="002B7C6B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</w:p>
    <w:p w:rsidR="002B7C6B" w:rsidRPr="001D0098" w:rsidRDefault="000E1229" w:rsidP="00821675">
      <w:pPr>
        <w:widowControl w:val="0"/>
        <w:suppressAutoHyphens/>
        <w:jc w:val="both"/>
      </w:pPr>
      <w:r>
        <w:tab/>
      </w:r>
      <w:r w:rsidR="00285906">
        <w:t xml:space="preserve">Nadleśnictwo Brodnica </w:t>
      </w:r>
      <w:r w:rsidR="00C66930">
        <w:t xml:space="preserve">z siedzibą przy ul. Sądowej 16 w Brodnicy </w:t>
      </w:r>
      <w:r w:rsidR="0075215D">
        <w:t xml:space="preserve"> wystąpiła</w:t>
      </w:r>
      <w:r w:rsidR="002B7C6B">
        <w:t xml:space="preserve"> </w:t>
      </w:r>
      <w:r w:rsidR="00821675">
        <w:t xml:space="preserve">                         </w:t>
      </w:r>
      <w:r w:rsidR="002B7C6B">
        <w:t xml:space="preserve">z wnioskiem do </w:t>
      </w:r>
      <w:r w:rsidR="00C66930">
        <w:t xml:space="preserve">Burmistrza Miasta i Gminy Górzno  w dniu 10.02.2015 </w:t>
      </w:r>
      <w:r w:rsidR="0075215D">
        <w:t xml:space="preserve">r. </w:t>
      </w:r>
      <w:r w:rsidR="002B7C6B">
        <w:t xml:space="preserve">  r.  o wydanie decyzji  o środowiskowych uwarunkowaniach, dla planowanego przedsięwzięc</w:t>
      </w:r>
      <w:r w:rsidR="0075215D">
        <w:t xml:space="preserve">ia polegającego na </w:t>
      </w:r>
      <w:r w:rsidR="0062784A">
        <w:t xml:space="preserve">  </w:t>
      </w:r>
      <w:r w:rsidR="00C66930">
        <w:t xml:space="preserve">zalesieniu gruntu rolnego </w:t>
      </w:r>
      <w:proofErr w:type="spellStart"/>
      <w:r w:rsidR="00C66930">
        <w:t>Ps</w:t>
      </w:r>
      <w:proofErr w:type="spellEnd"/>
      <w:r w:rsidR="00C66930">
        <w:t xml:space="preserve"> VI o pow. 0.86 ha, realizowane na części  działki nr 7086/8 położonej w miejscowości Czarny Bryńsk, gm. Górzno.</w:t>
      </w:r>
    </w:p>
    <w:p w:rsidR="002B7C6B" w:rsidRPr="00CC01A9" w:rsidRDefault="002B7C6B" w:rsidP="00821675">
      <w:pPr>
        <w:widowControl w:val="0"/>
        <w:suppressAutoHyphens/>
        <w:ind w:firstLine="709"/>
        <w:jc w:val="both"/>
        <w:rPr>
          <w:color w:val="FF0000"/>
        </w:rPr>
      </w:pPr>
      <w:r>
        <w:t>Projektowana inwest</w:t>
      </w:r>
      <w:r w:rsidR="00D15CE4">
        <w:t>y</w:t>
      </w:r>
      <w:r w:rsidR="00C66930">
        <w:t xml:space="preserve">cja zgodnie z § 3 ust. 1 pkt 89 </w:t>
      </w:r>
      <w:proofErr w:type="spellStart"/>
      <w:r w:rsidR="00C66930">
        <w:t>lit.c</w:t>
      </w:r>
      <w:proofErr w:type="spellEnd"/>
      <w:r w:rsidR="00C66930">
        <w:t xml:space="preserve">  </w:t>
      </w:r>
      <w:r>
        <w:t xml:space="preserve"> rozporządzenia Rady M</w:t>
      </w:r>
      <w:r w:rsidR="00CC01A9">
        <w:t>inistrów z dnia 9 listopada 2010</w:t>
      </w:r>
      <w:r>
        <w:t xml:space="preserve"> </w:t>
      </w:r>
      <w:r w:rsidR="00D15CE4">
        <w:t>r. w sprawie</w:t>
      </w:r>
      <w:r>
        <w:t xml:space="preserve"> przedsięwzięć mogących znacząco oddziaływać na środow</w:t>
      </w:r>
      <w:r w:rsidR="00D15CE4">
        <w:t xml:space="preserve">isko  (Dz. U. Nr 213, poz. 1397 </w:t>
      </w:r>
      <w:r>
        <w:t xml:space="preserve"> ze zmianami), zaliczana jest do przedsięwzięć mogących znacząco oddziaływać na środowisk</w:t>
      </w:r>
      <w:r w:rsidR="00D15CE4">
        <w:t>o.</w:t>
      </w:r>
      <w:r w:rsidR="006A40B1">
        <w:t xml:space="preserve"> </w:t>
      </w:r>
    </w:p>
    <w:p w:rsidR="002B7C6B" w:rsidRDefault="00A443A5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 Teren przeznaczony pod inwestycję nie posiada aktualnie obowiązującego planu zagospodarowania przestrzennego. Natomiast zgodnie ze studium uwarunkowań i kierunków zagospodarowania przestrzennego gminy Górzno, </w:t>
      </w:r>
      <w:r w:rsidR="00673902">
        <w:rPr>
          <w:rFonts w:eastAsia="Tahoma" w:cs="Tahoma"/>
          <w:iCs/>
          <w:kern w:val="2"/>
        </w:rPr>
        <w:t>przyjętym  U</w:t>
      </w:r>
      <w:r>
        <w:rPr>
          <w:rFonts w:eastAsia="Tahoma" w:cs="Tahoma"/>
          <w:iCs/>
          <w:kern w:val="2"/>
        </w:rPr>
        <w:t>chwałą Rady</w:t>
      </w:r>
      <w:r w:rsidR="00673902">
        <w:rPr>
          <w:rFonts w:eastAsia="Tahoma" w:cs="Tahoma"/>
          <w:iCs/>
          <w:kern w:val="2"/>
        </w:rPr>
        <w:t xml:space="preserve"> Gminy Górzno</w:t>
      </w:r>
      <w:r w:rsidR="0035522C">
        <w:rPr>
          <w:rFonts w:eastAsia="Tahoma" w:cs="Tahoma"/>
          <w:iCs/>
          <w:kern w:val="2"/>
        </w:rPr>
        <w:t xml:space="preserve"> Nr XXIV/143/2001 z dnia 20.06.2001 r., przedmiotowa działka jest zlokalizowana w części w strefie kształtowania i odtwarzania I-b, w części w strefie ochrony i konserwacji I-a oraz w strefie modernizacji i integracji I-c.</w:t>
      </w:r>
    </w:p>
    <w:p w:rsidR="0035522C" w:rsidRDefault="0035522C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  W odniesieniu do uwarunkowań wymienionych w art. 63 ust. 1 ww. ustawy z dnia 3 października </w:t>
      </w:r>
      <w:r w:rsidR="0097217E">
        <w:rPr>
          <w:rFonts w:eastAsia="Tahoma" w:cs="Tahoma"/>
          <w:iCs/>
          <w:kern w:val="2"/>
        </w:rPr>
        <w:t>2008 r. o udostępnieniu informacji o środowisku i jego ochronie, udziale społeczeństwa w ochronie środowiska oraz o ocenach oddziaływania na środowisko, tutejszy Organ przeanalizował rodzaj i charakter planowanej inwestycji oraz jej usytuowanie zważywszy na możliwe zagrożenie dla środowiska, jak również rodzaj i skalę możliwego oddziaływania.</w:t>
      </w:r>
    </w:p>
    <w:p w:rsidR="006B26A1" w:rsidRDefault="006B26A1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 </w:t>
      </w:r>
      <w:r w:rsidR="0097217E">
        <w:rPr>
          <w:rFonts w:eastAsia="Tahoma" w:cs="Tahoma"/>
          <w:iCs/>
          <w:kern w:val="2"/>
        </w:rPr>
        <w:t xml:space="preserve">Przedmiotowa inwestycja zlokalizowana zostanie na działce nr 7086/8 obręb czarny Bryńsk, gm. Górzno, wg podziału administracyjnego LP. Powierzchnia działki ewidencyjnej wynosi 26,9465 ha, a obszar przewidywany do zalesienia 0,86 ha. Teren, na którym realizowane będzie przedsięwzięcie to wg ewidencji pastwisko klasy VI, nieefektywne do produkcji rolniczej, o niskiej klasie bonitacyjnej. Teren ten sąsiaduje bezpośrednio z osadą </w:t>
      </w:r>
      <w:r w:rsidR="0097217E">
        <w:rPr>
          <w:rFonts w:eastAsia="Tahoma" w:cs="Tahoma"/>
          <w:iCs/>
          <w:kern w:val="2"/>
        </w:rPr>
        <w:lastRenderedPageBreak/>
        <w:t>należącą do prywatnego właściciela natomiast w odległości 1,8 km znajduje się najbliższa miejscowość Czarny Bryńsk. Rzeka Brynica przepływa w oddaleniu ok. 0,3 km na wschód od omawianej inwestycji, zaś jezioro Bryńskie Południowe znajduje się o,27 km na południowy wschód. Droga łącząca miejscowość Bryńsk i Lidzbark przebiega w odległości 3,2 km na zachód.</w:t>
      </w:r>
    </w:p>
    <w:p w:rsidR="006B26A1" w:rsidRDefault="006B26A1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W najbliższym otoczeniu opisywanej działki, na gruncie porolnym, znajdują się drzewostany sosnowe w pierwszym pokoleniu.</w:t>
      </w:r>
    </w:p>
    <w:p w:rsidR="006B26A1" w:rsidRDefault="006B26A1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Powierzchnię powyższych gruntów planuje się przygotować pod zalesienie przy pomocy specjalistycznego sprzętu (pług leśny z  pogłębiaczem lub frez leśny z głęboszem), z zachowaniem w miarę możliwości, dotychczasowego kierunku orki, w celu zapobiegnięcia zakłóceń w grawitacyjnym spływie wód, zachowania istniejącej rzeźby terenu i istniejących </w:t>
      </w:r>
      <w:proofErr w:type="spellStart"/>
      <w:r>
        <w:rPr>
          <w:rFonts w:eastAsia="Tahoma" w:cs="Tahoma"/>
          <w:iCs/>
          <w:kern w:val="2"/>
        </w:rPr>
        <w:t>zadrzewień</w:t>
      </w:r>
      <w:proofErr w:type="spellEnd"/>
      <w:r>
        <w:rPr>
          <w:rFonts w:eastAsia="Tahoma" w:cs="Tahoma"/>
          <w:iCs/>
          <w:kern w:val="2"/>
        </w:rPr>
        <w:t xml:space="preserve"> – odnowień naturalnych.</w:t>
      </w:r>
    </w:p>
    <w:p w:rsidR="006B26A1" w:rsidRDefault="006B26A1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Po przygotowaniu gruntu nastąpi ręczne sadzenie gatunków lasotwórczych, zgodnie z obowiązującą regionalizacją przyrodniczo-leśną, w oparciu o typ siedliskowy lasu, drzewostanu, a także strukturę przyległych lasów i </w:t>
      </w:r>
      <w:proofErr w:type="spellStart"/>
      <w:r>
        <w:rPr>
          <w:rFonts w:eastAsia="Tahoma" w:cs="Tahoma"/>
          <w:iCs/>
          <w:kern w:val="2"/>
        </w:rPr>
        <w:t>zadrzewień</w:t>
      </w:r>
      <w:proofErr w:type="spellEnd"/>
      <w:r>
        <w:rPr>
          <w:rFonts w:eastAsia="Tahoma" w:cs="Tahoma"/>
          <w:iCs/>
          <w:kern w:val="2"/>
        </w:rPr>
        <w:t>. Część powierzchni zalesionej będzie zabezpieczona przed szkodami ze strony zwierzyny. W celu wzbogacenia powierzchni, dla zapewnienia rozwoju szerokiej gamy gatunków fauny, wprowadzone zostaną gatunki biocenotyczne. Na powierzchni 0,43 ha ww. działki występuje samosiew sosny i brzozy projektowany do pozostawienia jako odnowienie naturalne.</w:t>
      </w:r>
    </w:p>
    <w:p w:rsidR="006B26A1" w:rsidRDefault="006B26A1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Obszar przeznaczony pod omawiane zamierzenie zna</w:t>
      </w:r>
      <w:r w:rsidR="00707D74">
        <w:rPr>
          <w:rFonts w:eastAsia="Tahoma" w:cs="Tahoma"/>
          <w:iCs/>
          <w:kern w:val="2"/>
        </w:rPr>
        <w:t>jduje się w granicach Górznieńsko-Lidzbarskiego</w:t>
      </w:r>
      <w:r>
        <w:rPr>
          <w:rFonts w:eastAsia="Tahoma" w:cs="Tahoma"/>
          <w:iCs/>
          <w:kern w:val="2"/>
        </w:rPr>
        <w:t xml:space="preserve"> Parku Krajo</w:t>
      </w:r>
      <w:r w:rsidR="00707D74">
        <w:rPr>
          <w:rFonts w:eastAsia="Tahoma" w:cs="Tahoma"/>
          <w:iCs/>
          <w:kern w:val="2"/>
        </w:rPr>
        <w:t>brazowego oraz w granicach Natu</w:t>
      </w:r>
      <w:r>
        <w:rPr>
          <w:rFonts w:eastAsia="Tahoma" w:cs="Tahoma"/>
          <w:iCs/>
          <w:kern w:val="2"/>
        </w:rPr>
        <w:t>ra 2000 Ostoja Lidzbarska PLh040036</w:t>
      </w:r>
      <w:r w:rsidR="00707D74">
        <w:rPr>
          <w:rFonts w:eastAsia="Tahoma" w:cs="Tahoma"/>
          <w:iCs/>
          <w:kern w:val="2"/>
        </w:rPr>
        <w:t>.</w:t>
      </w:r>
    </w:p>
    <w:p w:rsidR="00707D74" w:rsidRDefault="00707D74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Na terenie Górznieńsko-Lidzbarskiego Parku Krajobrazowe</w:t>
      </w:r>
      <w:r w:rsidR="001D17C2">
        <w:rPr>
          <w:rFonts w:eastAsia="Tahoma" w:cs="Tahoma"/>
          <w:iCs/>
          <w:kern w:val="2"/>
        </w:rPr>
        <w:t xml:space="preserve">go obowiązuje rozporządzenie Nr 15/2005 </w:t>
      </w:r>
      <w:r>
        <w:rPr>
          <w:rFonts w:eastAsia="Tahoma" w:cs="Tahoma"/>
          <w:iCs/>
          <w:kern w:val="2"/>
        </w:rPr>
        <w:t xml:space="preserve">Wojewody Kujawsko-Pomorskiego z dnia </w:t>
      </w:r>
      <w:r w:rsidR="001D17C2">
        <w:rPr>
          <w:rFonts w:eastAsia="Tahoma" w:cs="Tahoma"/>
          <w:iCs/>
          <w:kern w:val="2"/>
        </w:rPr>
        <w:t>15 czerwca 2005</w:t>
      </w:r>
      <w:r>
        <w:rPr>
          <w:rFonts w:eastAsia="Tahoma" w:cs="Tahoma"/>
          <w:iCs/>
          <w:kern w:val="2"/>
        </w:rPr>
        <w:t xml:space="preserve"> r</w:t>
      </w:r>
      <w:r w:rsidR="001D17C2">
        <w:rPr>
          <w:rFonts w:eastAsia="Tahoma" w:cs="Tahoma"/>
          <w:iCs/>
          <w:kern w:val="2"/>
        </w:rPr>
        <w:t>. w sprawie Górznieńsko-Lidzbarskiego Parku Krajobrazowego (Dz. Urz. Woj. Kuj.-Pom Nr 85, poz. 1556</w:t>
      </w:r>
      <w:r w:rsidR="00847E52">
        <w:rPr>
          <w:rFonts w:eastAsia="Tahoma" w:cs="Tahoma"/>
          <w:iCs/>
          <w:kern w:val="2"/>
        </w:rPr>
        <w:t xml:space="preserve">) Na podstawie </w:t>
      </w:r>
      <w:r w:rsidR="00847E52">
        <w:rPr>
          <w:rFonts w:eastAsia="Tahoma"/>
          <w:iCs/>
          <w:kern w:val="2"/>
        </w:rPr>
        <w:t>§</w:t>
      </w:r>
      <w:r w:rsidR="001D17C2">
        <w:rPr>
          <w:rFonts w:eastAsia="Tahoma" w:cs="Tahoma"/>
          <w:iCs/>
          <w:kern w:val="2"/>
        </w:rPr>
        <w:t xml:space="preserve"> 5 </w:t>
      </w:r>
      <w:r w:rsidR="00847E52">
        <w:rPr>
          <w:rFonts w:eastAsia="Tahoma" w:cs="Tahoma"/>
          <w:iCs/>
          <w:kern w:val="2"/>
        </w:rPr>
        <w:t>ww. rozporządzenia w parku wprowadza się zakaz realizacji przedsięwzięć mogących znacząco oddziaływać na środowisko (…).</w:t>
      </w:r>
    </w:p>
    <w:p w:rsidR="00847E52" w:rsidRDefault="00847E52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Natomiast zgodnie z zapisem art.17 ust.3 ustawy z dnia 16 kwietnia 2004 r. o ochronie przyrody (Dz. U. z 2013 r. poz.627 ze zmianami) zakaz, realizacji przedsięwzięć mogących znacząco oddziaływać na środowisko w rozumieniu przepisów ustawy z dnia 3 października 2008 r. o udostepnieniu informacji o środowisku i jego ochronie, udziale społeczeństwa w ochronie środowiska oraz o ocenach oddziaływania na środowisko, nie dotyczy realizacji przedsięwzięć mogących znacząco oddziaływać na środowisko. Dla których sporządzenie raportu o oddziaływaniu na środowisko </w:t>
      </w:r>
      <w:r w:rsidR="00A3766D">
        <w:rPr>
          <w:rFonts w:eastAsia="Tahoma" w:cs="Tahoma"/>
          <w:iCs/>
          <w:kern w:val="2"/>
        </w:rPr>
        <w:t>wykazała brak niekorzystnego wpływu na przyrodę parku krajobrazowego.</w:t>
      </w:r>
    </w:p>
    <w:p w:rsidR="0097217E" w:rsidRDefault="00A3766D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  Mając na uwadze powyższe, sporządzenie raportu jest konieczne i powinien on odnosić się do oddziaływania planowanego przedsięwzięcia w zakresie ochrony przyrody, w tym na gatunki oraz obszary chronione, celem ustalenia skali, zakresu i charakteru wpływu analizowanej inwestycji na środowisko przyrodnicze Górznieńsko-Lidzbarskiego Parku Krajobrazowego.</w:t>
      </w:r>
    </w:p>
    <w:p w:rsidR="00A3766D" w:rsidRDefault="00A3766D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  Ponadto z uwagi na dane wynikające z dokumentacji do planu zadań ochronnych dla obszaru natura 2000 Ostoja Lidzbarska PLH040036, w opracowywanym raporcie konieczne jest dokonanie stosownej oceny wpływu planowanych prac na przedmioty ochrony ww. obszaru natura 2000.</w:t>
      </w:r>
    </w:p>
    <w:p w:rsidR="00A3766D" w:rsidRDefault="00A3766D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 Zgodnie z kartą informacyjną przedsięwzięcia, podczas lustracji terenowej przeprowadzonej we wrześniu 2014 r. stwierdzono występowanie jednego gatunku podlegającego ochronie częściowej (kocanki piaskowej),  nie stwierdzono siedlisk ochronnych w miejscu projektowanym do zalesienia i nie przewiduje się wycinki drzew lub krzewów.</w:t>
      </w:r>
    </w:p>
    <w:p w:rsidR="00A3766D" w:rsidRDefault="00A3766D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  Związku z powyższym konieczne jest przeprowadzenie oceny oddziaływania na </w:t>
      </w:r>
      <w:r>
        <w:rPr>
          <w:rFonts w:eastAsia="Tahoma" w:cs="Tahoma"/>
          <w:iCs/>
          <w:kern w:val="2"/>
        </w:rPr>
        <w:lastRenderedPageBreak/>
        <w:t>ś</w:t>
      </w:r>
      <w:r w:rsidR="00C664D6">
        <w:rPr>
          <w:rFonts w:eastAsia="Tahoma" w:cs="Tahoma"/>
          <w:iCs/>
          <w:kern w:val="2"/>
        </w:rPr>
        <w:t>rodowisko, w tym sporządzenie ra</w:t>
      </w:r>
      <w:r>
        <w:rPr>
          <w:rFonts w:eastAsia="Tahoma" w:cs="Tahoma"/>
          <w:iCs/>
          <w:kern w:val="2"/>
        </w:rPr>
        <w:t>portu</w:t>
      </w:r>
      <w:r w:rsidR="00C664D6">
        <w:rPr>
          <w:rFonts w:eastAsia="Tahoma" w:cs="Tahoma"/>
          <w:iCs/>
          <w:kern w:val="2"/>
        </w:rPr>
        <w:t>.</w:t>
      </w:r>
    </w:p>
    <w:p w:rsidR="00A3766D" w:rsidRDefault="00C664D6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rFonts w:eastAsia="Tahoma" w:cs="Tahoma"/>
          <w:iCs/>
          <w:kern w:val="2"/>
        </w:rPr>
        <w:t xml:space="preserve">          Ustalając zakres raportu wskazano, że powinien on zawierać szczegółowa i wnikliwą analizę aspektów związanych </w:t>
      </w:r>
    </w:p>
    <w:p w:rsidR="000B4AE2" w:rsidRPr="00CC01A9" w:rsidRDefault="000B4AE2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</w:p>
    <w:p w:rsidR="002B7C6B" w:rsidRDefault="002B7C6B" w:rsidP="00821675">
      <w:pPr>
        <w:widowControl w:val="0"/>
        <w:suppressAutoHyphens/>
        <w:jc w:val="both"/>
        <w:rPr>
          <w:rFonts w:eastAsia="Tahoma" w:cs="Tahoma"/>
          <w:iCs/>
          <w:kern w:val="2"/>
        </w:rPr>
      </w:pPr>
      <w:r>
        <w:rPr>
          <w:iCs/>
        </w:rPr>
        <w:t>Niniejsze postanowienie zostaje przesłane stronom i podane do publicznej wiadomości przez zamieszczenie na stronie  BIP</w:t>
      </w:r>
      <w:r w:rsidR="001D17C2">
        <w:rPr>
          <w:iCs/>
        </w:rPr>
        <w:t xml:space="preserve"> Miasta i </w:t>
      </w:r>
      <w:r>
        <w:rPr>
          <w:iCs/>
        </w:rPr>
        <w:t xml:space="preserve">Gminy </w:t>
      </w:r>
      <w:r w:rsidR="001D17C2">
        <w:rPr>
          <w:iCs/>
        </w:rPr>
        <w:t>Górzno</w:t>
      </w:r>
      <w:r>
        <w:rPr>
          <w:iCs/>
        </w:rPr>
        <w:t xml:space="preserve">: </w:t>
      </w:r>
      <w:hyperlink r:id="rId7" w:history="1">
        <w:r w:rsidR="000B4AE2" w:rsidRPr="003B1EE6">
          <w:rPr>
            <w:rStyle w:val="Hipercze"/>
          </w:rPr>
          <w:t>www.bip.gorzno.pl</w:t>
        </w:r>
      </w:hyperlink>
      <w:r>
        <w:rPr>
          <w:iCs/>
        </w:rPr>
        <w:t xml:space="preserve"> oraz wywieszone  na tablicy ogłoszeń Urzędu </w:t>
      </w:r>
      <w:r w:rsidR="000B4AE2">
        <w:rPr>
          <w:iCs/>
        </w:rPr>
        <w:t xml:space="preserve">Miasta i </w:t>
      </w:r>
      <w:r>
        <w:rPr>
          <w:iCs/>
        </w:rPr>
        <w:t xml:space="preserve">Gminy w </w:t>
      </w:r>
      <w:r w:rsidR="000B4AE2">
        <w:rPr>
          <w:iCs/>
        </w:rPr>
        <w:t>Górznie</w:t>
      </w:r>
      <w:r>
        <w:rPr>
          <w:iCs/>
        </w:rPr>
        <w:t>, a także wysła</w:t>
      </w:r>
      <w:r w:rsidR="000B4AE2">
        <w:rPr>
          <w:iCs/>
        </w:rPr>
        <w:t>ne do sołtysa  wsi Czarny Bryńsk</w:t>
      </w:r>
      <w:r>
        <w:rPr>
          <w:iCs/>
        </w:rPr>
        <w:t>, w celu powiadomienia  zainteresowanych osób</w:t>
      </w:r>
      <w:r w:rsidR="000B4AE2">
        <w:rPr>
          <w:iCs/>
        </w:rPr>
        <w:t xml:space="preserve"> </w:t>
      </w:r>
      <w:r w:rsidR="00821675">
        <w:rPr>
          <w:iCs/>
        </w:rPr>
        <w:t xml:space="preserve"> </w:t>
      </w:r>
      <w:r>
        <w:rPr>
          <w:iCs/>
        </w:rPr>
        <w:t>w sposób zwyczajowo przyjęty w danej miejscowości.</w:t>
      </w:r>
    </w:p>
    <w:p w:rsidR="002B7C6B" w:rsidRDefault="002B7C6B" w:rsidP="00821675">
      <w:pPr>
        <w:widowControl w:val="0"/>
        <w:suppressAutoHyphens/>
        <w:jc w:val="both"/>
        <w:rPr>
          <w:rFonts w:eastAsia="Tahoma" w:cs="Tahoma"/>
          <w:kern w:val="2"/>
        </w:rPr>
      </w:pPr>
      <w:r>
        <w:tab/>
        <w:t>W nawiązaniu do powyższego orzeczono jak w sentencji.</w:t>
      </w:r>
    </w:p>
    <w:p w:rsidR="002B7C6B" w:rsidRDefault="002B7C6B" w:rsidP="00821675">
      <w:pPr>
        <w:widowControl w:val="0"/>
        <w:suppressAutoHyphens/>
        <w:jc w:val="both"/>
        <w:rPr>
          <w:rFonts w:eastAsia="Tahoma" w:cs="Tahoma"/>
          <w:i/>
          <w:iCs/>
          <w:kern w:val="2"/>
        </w:rPr>
      </w:pPr>
    </w:p>
    <w:p w:rsidR="002B7C6B" w:rsidRDefault="002B7C6B" w:rsidP="00821675">
      <w:pPr>
        <w:widowControl w:val="0"/>
        <w:suppressAutoHyphens/>
        <w:jc w:val="both"/>
      </w:pPr>
      <w:r>
        <w:tab/>
        <w:t xml:space="preserve">Na postanowienie niniejsze służy zażalenie do Samorządowego Kolegium Odwoławczego w Toruniu, za pośrednictwem </w:t>
      </w:r>
      <w:r w:rsidR="000B4AE2">
        <w:t>Burmistrza Miasta i Gminy Górzno</w:t>
      </w:r>
      <w:r>
        <w:t xml:space="preserve"> w terminie 7 dni od daty jego doręcz</w:t>
      </w:r>
      <w:r w:rsidR="00821675">
        <w:t>enia.</w:t>
      </w:r>
    </w:p>
    <w:p w:rsidR="00D90975" w:rsidRDefault="00D90975" w:rsidP="00821675">
      <w:pPr>
        <w:widowControl w:val="0"/>
        <w:suppressAutoHyphens/>
        <w:jc w:val="both"/>
        <w:rPr>
          <w:rFonts w:eastAsia="Tahoma" w:cs="Tahoma"/>
          <w:i/>
          <w:iCs/>
          <w:kern w:val="2"/>
          <w:u w:val="single"/>
        </w:rPr>
      </w:pPr>
    </w:p>
    <w:p w:rsidR="002B7C6B" w:rsidRDefault="002B7C6B" w:rsidP="00821675">
      <w:pPr>
        <w:widowControl w:val="0"/>
        <w:suppressAutoHyphens/>
        <w:jc w:val="both"/>
        <w:rPr>
          <w:rFonts w:eastAsia="Tahoma" w:cs="Tahoma"/>
          <w:kern w:val="2"/>
        </w:rPr>
      </w:pPr>
      <w:r>
        <w:t xml:space="preserve">                                                                                                           </w:t>
      </w:r>
    </w:p>
    <w:p w:rsidR="00D90975" w:rsidRPr="00D90975" w:rsidRDefault="002B7C6B" w:rsidP="002B7C6B">
      <w:pPr>
        <w:widowControl w:val="0"/>
        <w:suppressAutoHyphens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="00D80B9F">
        <w:t xml:space="preserve">     </w:t>
      </w:r>
      <w:r w:rsidR="00D90975" w:rsidRPr="00D90975">
        <w:rPr>
          <w:sz w:val="20"/>
          <w:szCs w:val="20"/>
        </w:rPr>
        <w:t>Z up. Burmistrza</w:t>
      </w:r>
    </w:p>
    <w:p w:rsidR="00D90975" w:rsidRPr="00D90975" w:rsidRDefault="00D90975" w:rsidP="002B7C6B">
      <w:pPr>
        <w:widowControl w:val="0"/>
        <w:suppressAutoHyphens/>
        <w:jc w:val="both"/>
        <w:rPr>
          <w:sz w:val="20"/>
          <w:szCs w:val="20"/>
        </w:rPr>
      </w:pPr>
    </w:p>
    <w:p w:rsidR="00D90975" w:rsidRPr="00D90975" w:rsidRDefault="00D90975" w:rsidP="002B7C6B">
      <w:pPr>
        <w:widowControl w:val="0"/>
        <w:suppressAutoHyphens/>
        <w:jc w:val="both"/>
        <w:rPr>
          <w:sz w:val="20"/>
          <w:szCs w:val="20"/>
        </w:rPr>
      </w:pPr>
      <w:r w:rsidRPr="00D90975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90975">
        <w:rPr>
          <w:sz w:val="20"/>
          <w:szCs w:val="20"/>
        </w:rPr>
        <w:t xml:space="preserve"> Jolanta Ślesińska</w:t>
      </w:r>
      <w:r w:rsidR="00D80B9F" w:rsidRPr="00D90975">
        <w:rPr>
          <w:sz w:val="20"/>
          <w:szCs w:val="20"/>
        </w:rPr>
        <w:t xml:space="preserve">       </w:t>
      </w:r>
    </w:p>
    <w:p w:rsidR="00D90975" w:rsidRDefault="00D90975" w:rsidP="002B7C6B">
      <w:pPr>
        <w:widowControl w:val="0"/>
        <w:suppressAutoHyphens/>
        <w:jc w:val="both"/>
        <w:rPr>
          <w:sz w:val="20"/>
          <w:szCs w:val="20"/>
        </w:rPr>
      </w:pPr>
      <w:r w:rsidRPr="00D9097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bookmarkStart w:id="0" w:name="_GoBack"/>
      <w:bookmarkEnd w:id="0"/>
      <w:r w:rsidRPr="00D90975">
        <w:rPr>
          <w:sz w:val="20"/>
          <w:szCs w:val="20"/>
        </w:rPr>
        <w:t xml:space="preserve">  Inspektor</w:t>
      </w:r>
      <w:r>
        <w:rPr>
          <w:sz w:val="20"/>
          <w:szCs w:val="20"/>
        </w:rPr>
        <w:t xml:space="preserve"> </w:t>
      </w:r>
      <w:r w:rsidRPr="00D90975">
        <w:rPr>
          <w:sz w:val="20"/>
          <w:szCs w:val="20"/>
        </w:rPr>
        <w:t xml:space="preserve"> ds. budownictwa, </w:t>
      </w:r>
    </w:p>
    <w:p w:rsidR="002B7C6B" w:rsidRPr="00D90975" w:rsidRDefault="00D90975" w:rsidP="002B7C6B">
      <w:pPr>
        <w:widowControl w:val="0"/>
        <w:suppressAutoHyphens/>
        <w:jc w:val="both"/>
        <w:rPr>
          <w:rFonts w:eastAsia="Tahoma" w:cs="Tahoma"/>
          <w:kern w:val="2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o</w:t>
      </w:r>
      <w:r w:rsidRPr="00D90975">
        <w:rPr>
          <w:sz w:val="20"/>
          <w:szCs w:val="20"/>
        </w:rPr>
        <w:t>chrony środowiska i planowania przestrzennego</w:t>
      </w:r>
      <w:r w:rsidR="00D80B9F" w:rsidRPr="00D90975">
        <w:rPr>
          <w:sz w:val="20"/>
          <w:szCs w:val="20"/>
        </w:rPr>
        <w:t xml:space="preserve">    </w:t>
      </w:r>
    </w:p>
    <w:p w:rsidR="002B7C6B" w:rsidRPr="00D90975" w:rsidRDefault="002B7C6B" w:rsidP="002B7C6B">
      <w:pPr>
        <w:widowControl w:val="0"/>
        <w:suppressAutoHyphens/>
        <w:jc w:val="both"/>
        <w:rPr>
          <w:rFonts w:eastAsia="Tahoma" w:cs="Tahoma"/>
          <w:kern w:val="2"/>
          <w:sz w:val="20"/>
          <w:szCs w:val="20"/>
        </w:rPr>
      </w:pPr>
      <w:r w:rsidRPr="00D90975">
        <w:rPr>
          <w:sz w:val="20"/>
          <w:szCs w:val="20"/>
        </w:rPr>
        <w:t xml:space="preserve">                                                                                                       </w:t>
      </w:r>
      <w:r w:rsidR="00D80B9F" w:rsidRPr="00D90975">
        <w:rPr>
          <w:sz w:val="20"/>
          <w:szCs w:val="20"/>
        </w:rPr>
        <w:t xml:space="preserve">         </w:t>
      </w:r>
    </w:p>
    <w:p w:rsidR="002B7C6B" w:rsidRDefault="002B7C6B" w:rsidP="002B7C6B">
      <w:pPr>
        <w:widowControl w:val="0"/>
        <w:suppressAutoHyphens/>
        <w:jc w:val="both"/>
        <w:rPr>
          <w:rFonts w:eastAsia="Tahoma" w:cs="Tahoma"/>
          <w:kern w:val="2"/>
        </w:rPr>
      </w:pPr>
      <w:r>
        <w:t xml:space="preserve">                                                                                                  </w:t>
      </w:r>
      <w:r w:rsidR="00D80B9F">
        <w:t xml:space="preserve">                   </w:t>
      </w:r>
    </w:p>
    <w:p w:rsidR="002B7C6B" w:rsidRDefault="00802F27" w:rsidP="002B7C6B">
      <w:pPr>
        <w:widowControl w:val="0"/>
        <w:suppressAutoHyphens/>
        <w:jc w:val="both"/>
        <w:rPr>
          <w:rFonts w:eastAsia="Tahoma" w:cs="Tahoma"/>
          <w:b/>
          <w:kern w:val="2"/>
          <w:u w:val="single"/>
        </w:rPr>
      </w:pPr>
      <w:r>
        <w:rPr>
          <w:b/>
          <w:u w:val="single"/>
        </w:rPr>
        <w:t>Otrzymują:</w:t>
      </w:r>
    </w:p>
    <w:p w:rsidR="002B7C6B" w:rsidRDefault="002B7C6B" w:rsidP="002B7C6B">
      <w:pPr>
        <w:widowControl w:val="0"/>
        <w:suppressAutoHyphens/>
        <w:ind w:left="360"/>
        <w:jc w:val="both"/>
        <w:rPr>
          <w:rFonts w:eastAsia="Tahoma" w:cs="Tahoma"/>
          <w:kern w:val="2"/>
        </w:rPr>
      </w:pPr>
    </w:p>
    <w:p w:rsidR="002B7C6B" w:rsidRDefault="001D17C2" w:rsidP="001D17C2">
      <w:pPr>
        <w:pStyle w:val="Bezodstpw"/>
      </w:pPr>
      <w:r>
        <w:t>1.</w:t>
      </w:r>
      <w:r w:rsidR="000B4AE2">
        <w:t>Nadleśnictwo Brodnica</w:t>
      </w:r>
    </w:p>
    <w:p w:rsidR="00802F27" w:rsidRDefault="001D17C2" w:rsidP="001D17C2">
      <w:pPr>
        <w:pStyle w:val="Bezodstpw"/>
        <w:rPr>
          <w:rFonts w:eastAsia="Tahoma" w:cs="Tahoma"/>
          <w:b/>
          <w:kern w:val="2"/>
          <w:u w:val="single"/>
        </w:rPr>
      </w:pPr>
      <w:r>
        <w:rPr>
          <w:rFonts w:eastAsia="Tahoma" w:cs="Tahoma"/>
          <w:kern w:val="2"/>
        </w:rPr>
        <w:t xml:space="preserve">   </w:t>
      </w:r>
      <w:r w:rsidR="000B4AE2">
        <w:rPr>
          <w:rFonts w:eastAsia="Tahoma" w:cs="Tahoma"/>
          <w:kern w:val="2"/>
        </w:rPr>
        <w:t xml:space="preserve">ul. Sądowa 16, 87-300 Brodnica </w:t>
      </w:r>
    </w:p>
    <w:p w:rsidR="000B4AE2" w:rsidRDefault="000B4AE2" w:rsidP="001D17C2">
      <w:pPr>
        <w:pStyle w:val="Bezodstpw"/>
        <w:rPr>
          <w:rFonts w:eastAsia="Tahoma" w:cs="Tahoma"/>
          <w:kern w:val="2"/>
        </w:rPr>
      </w:pPr>
      <w:r>
        <w:rPr>
          <w:rFonts w:eastAsia="Tahoma" w:cs="Tahoma"/>
          <w:kern w:val="2"/>
        </w:rPr>
        <w:t>2-8 strony postępowania</w:t>
      </w:r>
    </w:p>
    <w:p w:rsidR="000B4AE2" w:rsidRDefault="000B4AE2" w:rsidP="001D17C2">
      <w:pPr>
        <w:pStyle w:val="Bezodstpw"/>
      </w:pPr>
      <w:r>
        <w:t xml:space="preserve">9.  a/a </w:t>
      </w:r>
    </w:p>
    <w:p w:rsidR="002B7C6B" w:rsidRDefault="000B4AE2" w:rsidP="001D17C2">
      <w:pPr>
        <w:pStyle w:val="Bezodstpw"/>
      </w:pPr>
      <w:r>
        <w:t xml:space="preserve"> </w:t>
      </w:r>
    </w:p>
    <w:p w:rsidR="00473D92" w:rsidRDefault="00473D92" w:rsidP="001D17C2">
      <w:pPr>
        <w:pStyle w:val="Bezodstpw"/>
      </w:pPr>
    </w:p>
    <w:sectPr w:rsidR="0047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3DC43B0"/>
    <w:multiLevelType w:val="hybridMultilevel"/>
    <w:tmpl w:val="28406C48"/>
    <w:lvl w:ilvl="0" w:tplc="2236B7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462A0"/>
    <w:multiLevelType w:val="hybridMultilevel"/>
    <w:tmpl w:val="296EDE1E"/>
    <w:lvl w:ilvl="0" w:tplc="A9F0F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5158"/>
    <w:multiLevelType w:val="hybridMultilevel"/>
    <w:tmpl w:val="8D84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6B"/>
    <w:rsid w:val="000051AE"/>
    <w:rsid w:val="0001399C"/>
    <w:rsid w:val="000435AA"/>
    <w:rsid w:val="000B32AB"/>
    <w:rsid w:val="000B4AE2"/>
    <w:rsid w:val="000E1229"/>
    <w:rsid w:val="00175BB1"/>
    <w:rsid w:val="00192A45"/>
    <w:rsid w:val="001965CE"/>
    <w:rsid w:val="001D0098"/>
    <w:rsid w:val="001D17C2"/>
    <w:rsid w:val="00285906"/>
    <w:rsid w:val="002B7C6B"/>
    <w:rsid w:val="0035522C"/>
    <w:rsid w:val="003D28DA"/>
    <w:rsid w:val="00466FCF"/>
    <w:rsid w:val="004728E3"/>
    <w:rsid w:val="00473D92"/>
    <w:rsid w:val="0055106B"/>
    <w:rsid w:val="005E6C45"/>
    <w:rsid w:val="0062784A"/>
    <w:rsid w:val="00673902"/>
    <w:rsid w:val="006A40B1"/>
    <w:rsid w:val="006B26A1"/>
    <w:rsid w:val="00707D74"/>
    <w:rsid w:val="007107C8"/>
    <w:rsid w:val="0075215D"/>
    <w:rsid w:val="00770B12"/>
    <w:rsid w:val="00802F27"/>
    <w:rsid w:val="0080790D"/>
    <w:rsid w:val="00821675"/>
    <w:rsid w:val="00847E52"/>
    <w:rsid w:val="008C0C81"/>
    <w:rsid w:val="0097217E"/>
    <w:rsid w:val="00A3766D"/>
    <w:rsid w:val="00A443A5"/>
    <w:rsid w:val="00AD12EA"/>
    <w:rsid w:val="00B618DC"/>
    <w:rsid w:val="00B82A4E"/>
    <w:rsid w:val="00BD4EAD"/>
    <w:rsid w:val="00C51662"/>
    <w:rsid w:val="00C664D6"/>
    <w:rsid w:val="00C66930"/>
    <w:rsid w:val="00C94B44"/>
    <w:rsid w:val="00CB2D80"/>
    <w:rsid w:val="00CC01A9"/>
    <w:rsid w:val="00D15CE4"/>
    <w:rsid w:val="00D80B9F"/>
    <w:rsid w:val="00D90975"/>
    <w:rsid w:val="00DE1D59"/>
    <w:rsid w:val="00E47791"/>
    <w:rsid w:val="00ED0BDE"/>
    <w:rsid w:val="00F06B56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B7C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4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D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B7C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4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D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gor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629E-1BCC-4648-BDD6-10C93660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Ślesińska Jolanta</cp:lastModifiedBy>
  <cp:revision>6</cp:revision>
  <cp:lastPrinted>2015-04-10T11:29:00Z</cp:lastPrinted>
  <dcterms:created xsi:type="dcterms:W3CDTF">2015-04-09T12:40:00Z</dcterms:created>
  <dcterms:modified xsi:type="dcterms:W3CDTF">2015-04-10T11:41:00Z</dcterms:modified>
</cp:coreProperties>
</file>